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10
Praca własna: 
przygotowanie do zajęć		                        10
czytanie wskazanej literatury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II.S.P6S_WG.2, II.S.P6S_WG.3, II.H.P6S_WG/K.o, I.P6S_WG, I.P6S_WK, II.T.P6S_WK, II.S.P6S_WG.1, II.H.P6S_WG.1.o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K_U05, K_U02</w:t>
      </w:r>
    </w:p>
    <w:p>
      <w:pPr>
        <w:spacing w:before="20" w:after="190"/>
      </w:pPr>
      <w:r>
        <w:rPr>
          <w:b/>
          <w:bCs/>
        </w:rPr>
        <w:t xml:space="preserve">Powiązane charakterystyki obszarowe: </w:t>
      </w:r>
      <w:r>
        <w:rPr/>
        <w:t xml:space="preserve">I.P6S_UO, 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2026-10-03T09:35:41+02:00</dcterms:created>
  <dcterms:modified xsi:type="dcterms:W3CDTF">2026-10-03T09:35:41+02:00</dcterms:modified>
</cp:coreProperties>
</file>

<file path=docProps/custom.xml><?xml version="1.0" encoding="utf-8"?>
<Properties xmlns="http://schemas.openxmlformats.org/officeDocument/2006/custom-properties" xmlns:vt="http://schemas.openxmlformats.org/officeDocument/2006/docPropsVTypes"/>
</file>