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
2) Praca własna studenta - 67 godzin, w tym:
a) przygotowanie do ćwiczeń: 8 x 4 godz. = 32 godz.,
b) przygotowanie do zaliczenia:  20 godz.,
c) zapoznanie z literaturą przedmiotu: 15 godz.
Łącznie nakład pracy studenta wynosi 102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godziny, w tym:
a) udział w ćwiczeniach projektowych: 8 x 2 godz. = 16 godz., 
b) przygotowanie do ćwiczeń: 8 x 4 godz. = 32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
Ocena końcowa - średnia oceny z egzaminu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GP.NMK215_U9: </w:t>
      </w:r>
    </w:p>
    <w:p>
      <w:pPr/>
      <w:r>
        <w:rPr/>
        <w:t xml:space="preserve">Potrafi sformułować założenia i cele polityki regionalnej prowadzonej na różnych szczeblach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GP.NMK215_K4: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GP.NMK215_K5: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2026-02-27T22:22:06+01:00</dcterms:created>
  <dcterms:modified xsi:type="dcterms:W3CDTF">2026-02-27T22:22:06+01:00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