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przestrzenna w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 godzin, w tym:
a) udział w wykładach: 8 x 2 godz. = 16 godz., 
b) udział w konsultacjach 4 x 2 godz = 8 godz.,
c) obecność na zaliczeniu: 3 godz.
2) Praca własna studenta - 23 godzin, w tym:
a) przygotowanie do zaliczenia: 15 godz.,
b) zapoznanie z literaturą: 8 godz.
Łącznie nakład pracy studenta wynosi 50 godzin,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punktu ECTS - liczba godzin kontaktowych - 27 godzin, w tym:
a) udział w wykładach: 8 x 2 godz. = 16 godz., 
b) udział w konsultacjach 4 x 2 godz = 8 godz.,
c) obecność na zaliczeniu: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Unii Europejskiej i samorządzie terytorialnym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polityce  przestrzennej Unii Europejskiej oraz systemach planowania przestrzennego w wybranych krajach członkowskich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Gospodarka przestrzenna – podstawowe pojęcia
Samorząd terytorialny w wybranych krajach Unii Europejskiej: Francja, Wielka Brytania, Holandia, Niemcy, Czechy
Przestrzeń europejska - zróżnicowanie przestrzenne krajów UE
Planowanie przestrzenne wybranych krajach Unii Europejskiej: Francja, Wielka Brytania, Holandia, Niemcy, Czechy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albo prezentacja, raport, popowiedź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A. Gorzym Wilkowski, Gospodarka przestrzenna samorządu terytorialnego, zarys, Wydawnictwo Uniwersytetu Marii Curie-Skłodowskiej, wyd. 1. Lublin 2006;
2. Samorząd terytorialny w Europie Zachodniej, red. L. Rajca, Dom Wydawniczy Elipsa, wyd.1, Warszawa 2010;
3. J. Wojnicki, Samorządy lokalne w Polsce i w Europie, Wydawnictwo Akademii Humanistycznej im. Aleksandra Gieysztora, wyd.1, Pułtusk 2008;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GP.NMK202_W1: </w:t>
      </w:r>
    </w:p>
    <w:p>
      <w:pPr/>
      <w:r>
        <w:rPr/>
        <w:t xml:space="preserve">Zna i rozumie działanie samorządów terytorialnych w krajach UE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GP.NMK202_W2: </w:t>
      </w:r>
    </w:p>
    <w:p>
      <w:pPr/>
      <w:r>
        <w:rPr/>
        <w:t xml:space="preserve">Zna i rozumie proces planowania przestrzennego w krajach UE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GP.NMK202_W3: </w:t>
      </w:r>
    </w:p>
    <w:p>
      <w:pPr/>
      <w:r>
        <w:rPr/>
        <w:t xml:space="preserve">Ma interdyscyplinarną wiedzę dotycząca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GP.NMK202_W4: </w:t>
      </w:r>
    </w:p>
    <w:p>
      <w:pPr/>
      <w:r>
        <w:rPr/>
        <w:t xml:space="preserve">Ma wiedzę o interdyscyplinarności  procesu planowania w kraju i w Europie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GP.NMK202_U1: </w:t>
      </w:r>
    </w:p>
    <w:p>
      <w:pPr/>
      <w:r>
        <w:rPr/>
        <w:t xml:space="preserve">Potrafi tworzyć  opracowania z merytorycznymi argumentami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GP.NMK202_U2: </w:t>
      </w:r>
    </w:p>
    <w:p>
      <w:pPr/>
      <w:r>
        <w:rPr/>
        <w:t xml:space="preserve">Potrafi  wyciągać syntetyczne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GP.NMK202_U3: </w:t>
      </w:r>
    </w:p>
    <w:p>
      <w:pPr/>
      <w:r>
        <w:rPr/>
        <w:t xml:space="preserve">Wie jak analizować różnorodne uwarunkowania procesu planowania przestrzennego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GP.NMK202_U4: </w:t>
      </w:r>
    </w:p>
    <w:p>
      <w:pPr/>
      <w:r>
        <w:rPr/>
        <w:t xml:space="preserve">Potrafi analizować wieloaspektowość procesu planowania przestrzennego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GP.NMK202_K1: </w:t>
      </w:r>
    </w:p>
    <w:p>
      <w:pPr/>
      <w:r>
        <w:rPr/>
        <w:t xml:space="preserve">Jest świadomy skutków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GP.NMK202_K2: </w:t>
      </w:r>
    </w:p>
    <w:p>
      <w:pPr/>
      <w:r>
        <w:rPr/>
        <w:t xml:space="preserve">Ma poczucie zawodowej odpowiedzialności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GP.NMK202_K3: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GP.NMK202_K4: </w:t>
      </w:r>
    </w:p>
    <w:p>
      <w:pPr/>
      <w:r>
        <w:rPr/>
        <w:t xml:space="preserve">Potrafi przewidywać różnorodne skutki 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2025-07-03T18:49:55+02:00</dcterms:created>
  <dcterms:modified xsi:type="dcterms:W3CDTF">2025-07-03T18:49:55+02:00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