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GP.SMS260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wykładach - 15 godzin
b) obecność na ćwiczeniach - 15 godzin 
c) konsultacje - 5 godzin
2. Praca własna studenta – 15 godzin, w tym: 
a) przygotowanie do zajęć projektowych - 10 godzin
b) zapoznanie się ze wskazaną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35, w tym:
a) obecność na wykładach - 15 godzin
b) obecność na ćwiczeniach - 15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liczba godzin kontaktowych 25, w tym:
a) obecność na ćwiczeniach - 15 godzin 
b) przygotowanie do zajęć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narzędziami zarządzania rozwojem w skali regionalnej.</w:t>
      </w:r>
    </w:p>
    <w:p>
      <w:pPr>
        <w:keepNext w:val="1"/>
        <w:spacing w:after="10"/>
      </w:pPr>
      <w:r>
        <w:rPr>
          <w:b/>
          <w:bCs/>
        </w:rPr>
        <w:t xml:space="preserve">Treści kształcenia: </w:t>
      </w:r>
    </w:p>
    <w:p>
      <w:pPr>
        <w:spacing w:before="20" w:after="190"/>
      </w:pPr>
      <w:r>
        <w:rPr/>
        <w:t xml:space="preserve">WYKŁADY: Treści wykładów obejmują m.in. pojęcia planowania regionalnego w gospodarowaniu przestrzenią, zakres planów zagospodarowania przestrzennego województwa, zakres strategii rozwoju województwa, podział administracyjny i statystyczny kraju na przykładzie województwa mazowieckiego, klasyfikacja NUTS, europejskie modele planowania. 
ĆWICZENIA: W ramach ćwiczeń studenci opracowują raport oraz prezentację na wybrany temat dotyczący planowania na szczeblu wojewódzkim np. porównanie dokumentów obowiązującej strategii rozwoju województwa oraz projektu strategii rozwoju województwa, porównanie strategii rozwoju wybranych województw, porównanie planów zagospodarowania przestrzennego wybranych województw, porównanie planu zagospodarowania przestrzennego województwa i strategii rozwoju województwa. Raport powinien obejmować m.in. cel pracy, podstawy prawne omawianych dokumentów, porównanie struktury i zakresu treści dokumentów, odniesienie do systemu monitorowania stopnia realizacji dokumentów, ocenę opracowań kartograficznych i graficznych będących częścią dokumentów.</w:t>
      </w:r>
    </w:p>
    <w:p>
      <w:pPr>
        <w:keepNext w:val="1"/>
        <w:spacing w:after="10"/>
      </w:pPr>
      <w:r>
        <w:rPr>
          <w:b/>
          <w:bCs/>
        </w:rPr>
        <w:t xml:space="preserve">Metody oceny: </w:t>
      </w:r>
    </w:p>
    <w:p>
      <w:pPr>
        <w:spacing w:before="20" w:after="190"/>
      </w:pPr>
      <w:r>
        <w:rPr/>
        <w:t xml:space="preserve">Ocenie podlega wygłoszenie prezentacji i sporządzenie raportu w ćwiczeń. Ocena z przedmiotu może zostać podwyższona na podstawie ustnej odpowiedzi z treści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5 czerwca 1998 roku O samorządzie województwa;
2.	Ustawa z dnia 27 marca 2003 roku O planowaniu i zagospodarowaniu przestrzennym;
3.	Ustawa z dnia 6 grudnia 2006 roku O zasadach prowadzenia polityki rozwoju;
4.	Krzysztof Jaroszyński, Anna Szmytt, i Łukasz Złakowski, Planowanie i zagospodarowanie przestrzenne: komentarz, red. Zygmunt Niewiadomski, 12. wyd. Warszawa: Wydawnictwo C.H. Beck, 2021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hybrydowej (wykłady - zdalnej, ćwiczenia -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GP.SMK116_W1: </w:t>
      </w:r>
    </w:p>
    <w:p>
      <w:pPr/>
      <w:r>
        <w:rPr/>
        <w:t xml:space="preserve">ma uporządkowaną i pogłębioną wiedzę w zakresie oceny stanu zasobów krajobrazowych oraz zasad i metod kształtowania krajobrazu </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GP.SMK116_U1: </w:t>
      </w:r>
    </w:p>
    <w:p>
      <w:pPr/>
      <w:r>
        <w:rPr/>
        <w:t xml:space="preserve">potrafi analizować uwarunkowania kształtowania krajobrazu oraz rozumie wieloaspektowość tego procesu</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GP.SMK116_K1: </w:t>
      </w:r>
    </w:p>
    <w:p>
      <w:pPr/>
      <w:r>
        <w:rPr/>
        <w:t xml:space="preserve">ma wyrobioną świadomość zawodową społecznej odpowiedzialności przy ocenie i w podejmowaniu decyzji w zakresie ochrony, planowania i zarządzania zasobami krajobrazowymi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2026-05-07T15:23:15+02:00</dcterms:created>
  <dcterms:modified xsi:type="dcterms:W3CDTF">2026-05-07T15:23:15+02:00</dcterms:modified>
</cp:coreProperties>
</file>

<file path=docProps/custom.xml><?xml version="1.0" encoding="utf-8"?>
<Properties xmlns="http://schemas.openxmlformats.org/officeDocument/2006/custom-properties" xmlns:vt="http://schemas.openxmlformats.org/officeDocument/2006/docPropsVTypes"/>
</file>