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 i 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w tym:
1. Liczba godzin kontaktowych - 40 godzin, w tym: 
a) obecność na wykładach - 30 godz. 
b)konsultacje - 8 godz. 
c) obecność na zaliczeniu - 2 godz.  
2. Praca własna studenta - 10 godzi, w tym: 
czytanie literatury i przygotowanie do zaliczenia 10 godz
 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1. Liczba godzin kontaktowych - 40 godzin, w tym: 
a) obecność na wykładach - 30 godz. 
b)konsultacje - 8 godz. 
c) obecność na zaliczeniu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elementów problematyki prawnej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Ogólne wprowadzenie do przedmiotu. Makroekonomiczne uwarunkowania polityki regionalnej. Produkt krajowy brutto a polityka regionalna. Inflacja i bezrobocie w polityce regionalnej. Wzrost gospodarczy a polityka regionalna. Zasady konsensusu społecznego w polityce regionalnej. Czynniki rozwoju regionalnego.  Społeczny wymiar polityki regionalnej. Partnerstwo w zarządzaniu rozwojem…. Polityka regionalna UE. Aspekty prawne. Kierunki reform w UE Regionalne zróżnicowanie rozwoju wsi.  Polityka regionalna jako instrument podwyższania konkurencyjności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pisemne), egzamin (ustny lub pisemny). Formy zaliczenia: test wyboru,  esej, wypowiedź ustna na dany temat, odpowiedź ustna, udział w dyskusji podczas zajęć. Studenci wyjątkowo aktywni na zajęciach mogą zostać zwolnieni z kolokwium.  Studenci z oceną bardzo dobrą z przedmiotu mogą zostać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Robert E. Hall, John B. Taylor, Makroekonomia, PWN, Warszawa 2002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silnie skorelowany z przedmiotem Gospodarka przestrzenna w UE.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GP.SMK115_W4: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GP.SMK115_U8: </w:t>
      </w:r>
    </w:p>
    <w:p>
      <w:pPr/>
      <w:r>
        <w:rPr/>
        <w:t xml:space="preserve">Potrafi sformułować założenia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keepNext w:val="1"/>
        <w:spacing w:after="10"/>
      </w:pPr>
      <w:r>
        <w:rPr>
          <w:b/>
          <w:bCs/>
        </w:rPr>
        <w:t xml:space="preserve">Efekt GP.SMK115_U9: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GP.SMK115_K6: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2026-10-02T12:53:53+02:00</dcterms:created>
  <dcterms:modified xsi:type="dcterms:W3CDTF">2026-10-02T12:53:53+02:00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