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przestrzenna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 
a)	wykład – 15 godz. 
b)	obecność na zaliczeniu – 1 godz.
c) konsultacje  4 godz
2. Praca własna studenta – 5 godzin, w tym:
 a)	 czytanie literatury i przygotowywanie się studenta do zaliczenia. 5 godz
łącznie 25 godz., co odpowiada 1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1. Liczba godzin kontaktowych: 20, w tym: 
a)	wykład – 15 godz. 
b)	obecność na zaliczeniu – 1 godz.
c) konsultacje  4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Unii Europejskiej oraz podstawowa wiedza ekonomiczna.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polityce  przestrzennej Unii Europejskiej, jej powiązaniach z ekonomią oraz z polityką regionalną.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wprowadzenie do przedmiotu. Cechy przestrzeni w UE. Struktura przestrzeni w UE.
Przesłanki gospodarcze wpływające na zagospodarowanie przestrzeni w UE. Rola planowania przestrzennego jako instrumentu sterowania rozwojem w UE. Pojęcie i struktura gospodarki przestrzennej w UE. Podstawowe problemy uwzględniane w gospodarce przestrzennej w UE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lub kilka z poniższych form: kolokwium (ustne lub pisemne). Formy zaliczenia: test wyboru,  esej, wypowiedź ustna na dany temat, odpowiedź ustna, udział w dyskusji podczas zajęć. Studenci wyjątkowo aktywni na zajęciach mogą zostać zwolnieni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1. A. Potoczek, Polityka regionalna i gospodarka przestrzenna, Wydawnictwo Agencja THONIK, Toruń 2003
    2. T. Grosse, Polityka regionalna Unii Europejskiej. Przykład Grecji, Włoch Irlandii i Polski, Instytut Spraw Publicznych, Warszawa 2004
    3. I. Pietrzyk, Polityka regionalna Unii Europejskiej i regiony w państwach członkowskich, PWN, Warszawa 2000
    4. I. Pietrzyk (red.), Polityka regionalna Unii Europejskiej w praktyce krajów członkowskich, Wydawnictwo Akademii Ekonomicznej w Krakowie, Kraków 1999
    5. M. Rudnicki, Polityka regionalna Unii Europejskiej, Wydawnictwo Wyższej szkoły bankowej, Poznań 2000
    6. S. Pastuszka, Polityka regionalna Unii Europejskiej – cele, narzędzia efekty, Difin, Warszawa 2012
    7. W. Sługocki (red.), Polityka regionalna w Polsce jako przestrzeń aktywności samorządu terytorialnego, Elipsa, Warszawa 2009
    8. D. Czyker-Wierzba, Polityka regionalna Unii Europejskiej, Wydawnictwo Uniwersytetu Gdańskiego, Gdańsk 1998
    9. M. Klimut, L. Cybulski (red.), Polityka regionalna i jej rola w podnoszeniu konkurencyjności regionów, Wydawnictwo Akademii Ekonomicznej im Oskara Langego we Wrocławiu, Wrocław 2000
    10. J. Kaja, K. Piech (red.), Rozwój oraz polityka regionalna i lokalna w Polsce, SGH, Warszawa 2005
    11. G. Gorzelak (red), Polska regionalna i lokalna w świetle badań EUROREG-u, Wydawnictwo Naukowe Scholar, Warszawa 2007
    12. J. Szomburg (red.), Polityka regionalna państwa pośród uwikłań instytucjonalno-regulacyjnych, IBGR, Gdańsk 2001
    13. K. Gląbicka, M. Grewiński, Europejska polityka regionalna, Elipsa, Warszawa 2003
    14. K. Wojtaszczyk, Fundusze strukturalne i polityka regionalna Unii Europejskiej, ASPRA-JR, Warszawa 2005
    15. R. Ast, Kształtowanie przestrzeni regionów i miast. Wybrane zagadnienia, Wydawnictwo Politechniki Poznańskiej, Poznań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ściśle skorelowany z przedmiotem Polityka regionalna i prawodawstwo UE w gospodarowaniu przestrzenią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GP.SMK101_W1: </w:t>
      </w:r>
    </w:p>
    <w:p>
      <w:pPr/>
      <w:r>
        <w:rPr/>
        <w:t xml:space="preserve">Zna i rozumie działanie samorządów terytorialnych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GP.SMK101_W2: </w:t>
      </w:r>
    </w:p>
    <w:p>
      <w:pPr/>
      <w:r>
        <w:rPr/>
        <w:t xml:space="preserve">Zna i rozumie proces planowania przestrzennego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GP.SMK101_W3: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GP.SMK101_W4: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GP.SMK101_U1: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GP.SMK101_U2: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GP.SMK101_U3: </w:t>
      </w:r>
    </w:p>
    <w:p>
      <w:pPr/>
      <w:r>
        <w:rPr/>
        <w:t xml:space="preserve">Wie jak analizować różnorodne uwarunkowania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keepNext w:val="1"/>
        <w:spacing w:after="10"/>
      </w:pPr>
      <w:r>
        <w:rPr>
          <w:b/>
          <w:bCs/>
        </w:rPr>
        <w:t xml:space="preserve">Efekt GP.SMK101_U4: </w:t>
      </w:r>
    </w:p>
    <w:p>
      <w:pPr/>
      <w:r>
        <w:rPr/>
        <w:t xml:space="preserve">Potrafi analizować wieloaspektowość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GP.SMK101_K1: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GP.SMK101_K2: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GP.SMK101_K3: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GP.SMK101_K4: </w:t>
      </w:r>
    </w:p>
    <w:p>
      <w:pPr/>
      <w:r>
        <w:rPr/>
        <w:t xml:space="preserve">Potrafi przewidywać różnorodne skutki 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2026-10-02T22:33:24+02:00</dcterms:created>
  <dcterms:modified xsi:type="dcterms:W3CDTF">2026-10-02T22:33:24+02:00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