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Szeliga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laboratoryjne: 24 godz.,
konsultacje: 6 godz.,
zapoznanie się z literaturą: 12 godz.,
prace domowe: 18 godz.
Razem 60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laboratoryjne: 24 godz.,
konsultacje: 6 godz.,
Razem 30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samodzielna na ćwiczeniach: 12 godz.,
prace domowe: 18 godz.
Razem 30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projektowania konstrukcji oraz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15-osobowe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z zakresu niezawodności konstrukcji (aparat pojęciowy, metody analizy elementów i układów konstrukcyjnych pod względem ryzyka awarii) oraz umiejętność jej wykorzystania w praktycznych zagadnieniach inżynierskich (w szczególności w opracowywaniu i aktualizowaniu norm budowlanych).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rachunku prawdopodobieństwa i statystyki matematycznej. Podstawowy aparat pojęciowy z dziedziny niezawodności konstrukcji (stany graniczne, miary niezawodności). Podstawowe metody analizy konstrukcji z punktu widzenia ryzyka awarii. Zasady probabilistycznego modelowania efektów obciążeń i ich kombinacji. Zasady probabilistycznego modelowania nośności elementów konstrukcyjnych. Zasady analizy ryzyka awarii układów konstrukcyjnych. Zasady opracowywania i aktualizowania norm obciążeń i norm projektowania. Błędy ludzkie jako przyczyny katastrof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ciągła pracy na zajęciach. 2. Dwa sprawdziany pisemne. Warunki zaliczenia przedmiotu: udział w zajęciach (nie więcej niż 2 nieobecności) oraz zaliczenie każdego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(definicje, wzory, algorytmy, przykłady zadań z rozwiązaniami) dostępne w postaci prezentacji Power Point na serwerze wydziałowym. Literatura uzupełniająca: Nowak, A.S., Collins, K.R., “Reliability of Structure”s, McGraw-Hill, New York, 2000; Cruse, T. A., “Reliability-based mechanical design”, Marcel Dekker, Inc., New York, 1997; Thoft-Christensen, P., Baker, M.J., “Structural Reliability Theory and Its Applications”, Springer-Verlag, New York, 1982; Biegus, A., “Probabilistyczna analiza konstrukcji stalowych”, PWN, Warszawa-Wrocław, 1999; Murzewski, J., “Niezawodność konstrukcji inżynierskich”, Arkady, Warszawa, 1989; Benjamin, J.R., Cornell, C.A., „Rachunek prawdopodobieństwa, statystyka matematyczna, teoria decyzji dla inżynierów”, WNT, Warszawa, 1977; Fisz, M., „Rachunek prawdopodobieństwa i statystyka matematyczna”, PWN, Warszawa, 1969; Zieliński, M. „Metody Monte Carlo”, WNT, Warszawa, 1970; PN-ISO 2394, „Ogólne zasady niezawodności konstrukcji”, PKN, Warszawa, 2000; PN-EN 1990, „Eurokod – Podstawy projektowania konstrukcji”, PKN,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serwer WIL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podstawowy aparat pojęciowy z zakresu teorii niezawodności konstrukcji budowlanych - miar ich ryzyka awarii i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wiedzę z rachunku prawdopodobieństwa i statystyki matematycznej niezbędną w teorii niezawodności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Zna podstawowe metody analizy konstrukcji z punktu widzenia jej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Zna zasady probabilistycznego modelowania efektów działających na konstrukcję obciążeń i ich kombinacji.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</w:t>
      </w:r>
    </w:p>
    <w:p>
      <w:pPr>
        <w:keepNext w:val="1"/>
        <w:spacing w:after="10"/>
      </w:pPr>
      <w:r>
        <w:rPr>
          <w:b/>
          <w:bCs/>
        </w:rPr>
        <w:t xml:space="preserve">Charakterystyka W5: </w:t>
      </w:r>
    </w:p>
    <w:p>
      <w:pPr/>
      <w:r>
        <w:rPr/>
        <w:t xml:space="preserve">Zna zasady probabilistycznego modelowania nośności elementów konstrukcyjnych i układów konstrukcyjnych.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</w:t>
      </w:r>
    </w:p>
    <w:p>
      <w:pPr>
        <w:keepNext w:val="1"/>
        <w:spacing w:after="10"/>
      </w:pPr>
      <w:r>
        <w:rPr>
          <w:b/>
          <w:bCs/>
        </w:rPr>
        <w:t xml:space="preserve">Charakterystyka W6: </w:t>
      </w:r>
    </w:p>
    <w:p>
      <w:pPr/>
      <w:r>
        <w:rPr/>
        <w:t xml:space="preserve">Zna zasady opracowywania i aktualizowania norm budowlanych, jako podstawowych narzędzi zapewnienia konstrukcji odpowiedniego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opracować statystycznie wyniki badań i obserwacji związanych z problemem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Potrafi, wykorzystując metody analityczne lub symulacyjne, przeprowadzić wstępną analizę elementu konstrukcyjnego lub układu konstrukcyjnego pod względem jego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Potrafi, stosując normy budowlane, zapewnić konstrukcji odpowiedni poziom bezpieczeństwa.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K2_U16_KB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świadomy doniosłości kwalifikacji zawodowych i etyki zawodowej inżyniera dla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 i praktyka zawodowa absolwenta.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Jest świadomy możliwości wykorzystania nabytej praktyki i doświadczenia inżynierskiego do aktualizacji norm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 i praktyka zawodowa absolwenta.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K3: </w:t>
      </w:r>
    </w:p>
    <w:p>
      <w:pPr/>
      <w:r>
        <w:rPr/>
        <w:t xml:space="preserve">Jest przygotowany do samodzielnego uzupełniania wiedzy z zakresu normalizacji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 i praktyka zawodowa absolwenta.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2025-04-11T17:46:39+02:00</dcterms:created>
  <dcterms:modified xsi:type="dcterms:W3CDTF">2025-04-11T17:46:39+02:00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