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- 12 godz.
ćwiczenia projektowe - 12 godz.
zapoznanie się z literaturą - 20 godz. 
wykonanie projektu - 15 godz.
konsultacje 2 godz.
obrona projektu 2 godz.
razem 63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- 12 godz.
ćwiczenia projektowe - 12 godz.
konsultacje 2 godz.
obrona projektu 2 godz.
razem 28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- 12 godz.
wykonanie projektu - 15 godz.
razem 27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K2_W10, K2_W16_DS,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charakterystyki kierunkowe: </w:t>
      </w:r>
      <w:r>
        <w:rPr/>
        <w:t xml:space="preserve">K2_U13, K2_U19_DS, K2_U17_DS</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2026-10-21T12:32:33+02:00</dcterms:created>
  <dcterms:modified xsi:type="dcterms:W3CDTF">2026-10-21T12:32:33+02:00</dcterms:modified>
</cp:coreProperties>
</file>

<file path=docProps/custom.xml><?xml version="1.0" encoding="utf-8"?>
<Properties xmlns="http://schemas.openxmlformats.org/officeDocument/2006/custom-properties" xmlns:vt="http://schemas.openxmlformats.org/officeDocument/2006/docPropsVTypes"/>
</file>