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Przedmiot do wyboru III   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Zgodnie z wybranym przedmiotem   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Budownictwo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3 / rok ak. 2022/2023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Razem 50 godz. = 2 ECTS; podział godzin zależnie od wybranego przedmiotu.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Co najmniej 30 godz. = 1 ECTS; podział godzin zależnie od wybranego przedmiotu.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Zależnie od wybranego przedmiotu.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Zgodnie z wybranym przedmiotem 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Zgodnie z wybranym przedmiotem 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Zgodnie z wybranym przedmiotem 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Zgodnie z wybranym przedmiotem 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Zgodnie z wybranym przedmiotem 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Zgodnie z wybranym przedmiotem 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umiejętności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U1: </w:t>
      </w:r>
    </w:p>
    <w:p>
      <w:pPr/>
      <w:r>
        <w:rPr/>
        <w:t xml:space="preserve">Umie poszerzać wiedzę zgodnie z indywidualnymi zainteresowaniami w ramach wybranego modułu.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zgodny ze specyfiką wybranego modułu.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K2_U12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P7U_U, I.P7S_UU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2026-09-30T18:12:44+02:00</dcterms:created>
  <dcterms:modified xsi:type="dcterms:W3CDTF">2026-09-30T18:12:44+02:00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