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dr inż. Jan Tomasik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25 godz.
•	przygotowanie do zajęć laboratoryjnych: 25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80 godz., w tym:
•	wykonanie ćwiczeń w laboratorium: 30 godz.
•	przygotowanie do ćwiczeń laboratoryjnych: 25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2011.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I.P6S_WG.o, P6U_W, III.P6S_WG</w:t>
      </w:r>
    </w:p>
    <w:p>
      <w:pPr>
        <w:keepNext w:val="1"/>
        <w:spacing w:after="10"/>
      </w:pPr>
      <w:r>
        <w:rPr>
          <w:b/>
          <w:bCs/>
        </w:rPr>
        <w:t xml:space="preserve">Charakterystyka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K_U10, K_U11, K_U13</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charakterystyki kierunkowe: </w:t>
      </w:r>
      <w:r>
        <w:rPr/>
        <w:t xml:space="preserve">K_U10, K_U11, K_U15</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2026-10-03T09:10:14+02:00</dcterms:created>
  <dcterms:modified xsi:type="dcterms:W3CDTF">2026-10-03T09:10:14+02:00</dcterms:modified>
</cp:coreProperties>
</file>

<file path=docProps/custom.xml><?xml version="1.0" encoding="utf-8"?>
<Properties xmlns="http://schemas.openxmlformats.org/officeDocument/2006/custom-properties" xmlns:vt="http://schemas.openxmlformats.org/officeDocument/2006/docPropsVTypes"/>
</file>