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Kornacki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wykład - 15 godz., 
•	projekt w laboratorium -15 godz.,
•	konsultacje – 2 godz.
2) Praca własna studenta - 25 godz. w tym:
•	przygotowanie do zajęć laboratoryjnych 15 godz.,
•	 zapoznanie z literaturą 10 godz.
RAZEM 57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1,5 punktu ECTS -  Liczba godzin bezpośrednich – 32, w tym:
•	wykład - 15 godz., 
•	projekt w laboratorium -15 godz.,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 godz.:
•	projekt w laboratorium -15 godz.,
•	konsultacje – 2 godz.
•	przygotowanie do zajęć laboratoryjnych -15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umiejętność obsługi systemów komputerowych w środowisku Windows oraz.umiejętność korzystania z podstawowych aplikacji (pakiet biurowy, usługi internetowe)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techniki komputerowej oraz z programami  MATLAB, LABVIEW i OPEN OFFICE i z  systemem operacyjnym LINUX. Zasady  sporządzania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komputerowego. System operacyjny Linux. Matlab: podstawy programowania, Simulink i badania symulacyjne. LabView: programowanie i użytkowanie Wytwarzanie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oraz oceny projektów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Wstęp do technik komputerowych. Materiały dydaktyczne (udostępniane w wersji elektronicznej). IAiR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WTK_W01: </w:t>
      </w:r>
    </w:p>
    <w:p>
      <w:pPr/>
      <w:r>
        <w:rPr/>
        <w:t xml:space="preserve">Znajomość podstaw techniki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WTK_W02: </w:t>
      </w:r>
    </w:p>
    <w:p>
      <w:pPr/>
      <w:r>
        <w:rPr/>
        <w:t xml:space="preserve">Umiejętność korzystania z aplikacji MatLab , LabView i Open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projektow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WTK_W03: </w:t>
      </w:r>
    </w:p>
    <w:p>
      <w:pPr/>
      <w:r>
        <w:rPr/>
        <w:t xml:space="preserve">Znajomość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projektu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WTK_U01: </w:t>
      </w:r>
    </w:p>
    <w:p>
      <w:pPr/>
      <w:r>
        <w:rPr/>
        <w:t xml:space="preserve">Potrafi stosować metody komputerowe w obliczeniach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projektów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WTK_K01: </w:t>
      </w:r>
    </w:p>
    <w:p>
      <w:pPr/>
      <w:r>
        <w:rPr/>
        <w:t xml:space="preserve">Rozumie rolę i znaczenie metod komputerowych w rozwiązywaniu zadań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projekty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2025-07-03T06:39:20+02:00</dcterms:created>
  <dcterms:modified xsi:type="dcterms:W3CDTF">2025-07-03T06:39:20+02:00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