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laboratorium 30 godz.,
•	konsultacje 2 godz.
 2)Praca własna – 27 godz.
•	analiza literatury i dokumentacji oprogramowania LabView 10 godz.
•	przygotowanie do zajęć laboratoryjnych (instrukcje, dokumentacja) 12 godz.
•	przygotowanie ustnej prezentacji każdego z programów opracowanych podczas ćwiczeń laboratoryjnych 5 godz.
 Razem 59 godz.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punkty ECTS – 35 godz., w tym: 
•	prezentacja programów wykonanych podczas ćwiczeń laboratoryjnych 5 godz.
•	laboratorium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2017
Chruściel Marcin "LabVIEW w praktyce", BTC -Korporacja Paweł Zbysiński, 2008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K_W07, K_W08, 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opracowanych programów
</w:t>
      </w:r>
    </w:p>
    <w:p>
      <w:pPr>
        <w:spacing w:before="20" w:after="190"/>
      </w:pPr>
      <w:r>
        <w:rPr>
          <w:b/>
          <w:bCs/>
        </w:rPr>
        <w:t xml:space="preserve">Powiązane charakterystyki kierunkowe: </w:t>
      </w:r>
      <w:r>
        <w:rPr/>
        <w:t xml:space="preserve">K_U01, K_U05, K_U11, K_U22, K_U26</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K_U09, K_U13, K_U02</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2026-10-21T14:19:35+02:00</dcterms:created>
  <dcterms:modified xsi:type="dcterms:W3CDTF">2026-10-21T14:19:35+02:00</dcterms:modified>
</cp:coreProperties>
</file>

<file path=docProps/custom.xml><?xml version="1.0" encoding="utf-8"?>
<Properties xmlns="http://schemas.openxmlformats.org/officeDocument/2006/custom-properties" xmlns:vt="http://schemas.openxmlformats.org/officeDocument/2006/docPropsVTypes"/>
</file>