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dr inż. Michał Nowicki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17, w tym: a) projekt :15 b) konsultacje – 2.
 2) Praca własna studenta przy opracowaniu projektów 10 godz. Suma: 27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Liczba godzin bezpośrednich 17, w tym: projekt :15,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o charakterze praktycznym 27, w tym: a) projekt :15 b) konsultacje: 2 c)przygotowanie projektów 10 godz. razem: 27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zagadnień z przedmiotów: Propedeutyka informatyki. Wstęp do technik komputerowych. Podstawy metrologii. Metrologia techniczna. Miernictwo elektryczne.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1.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2.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3.Centralizacja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IP2_W1: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K_W04, K_W05, K_W06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IP2_U1: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K_U01, K_U22, K_U26</w:t>
      </w:r>
    </w:p>
    <w:p>
      <w:pPr>
        <w:spacing w:before="20" w:after="190"/>
      </w:pPr>
      <w:r>
        <w:rPr>
          <w:b/>
          <w:bCs/>
        </w:rPr>
        <w:t xml:space="preserve">Powiązane charakterystyki obszarowe: </w:t>
      </w:r>
      <w:r>
        <w:rPr/>
        <w:t xml:space="preserve">P6U_U, I.P6S_UW.o, I.P6S_UK, III.P6S_UW.o, I.P6S_UO</w:t>
      </w:r>
    </w:p>
    <w:p>
      <w:pPr>
        <w:pStyle w:val="Heading3"/>
      </w:pPr>
      <w:bookmarkStart w:id="4" w:name="_Toc4"/>
      <w:r>
        <w:t>Profil ogólnoakademicki - kompetencje społeczne</w:t>
      </w:r>
      <w:bookmarkEnd w:id="4"/>
    </w:p>
    <w:p>
      <w:pPr>
        <w:keepNext w:val="1"/>
        <w:spacing w:after="10"/>
      </w:pPr>
      <w:r>
        <w:rPr>
          <w:b/>
          <w:bCs/>
        </w:rPr>
        <w:t xml:space="preserve">Charakterystyka IP2_K1: </w:t>
      </w:r>
    </w:p>
    <w:p>
      <w:pPr/>
      <w:r>
        <w:rPr/>
        <w:t xml:space="preserve">Potrafi zachowywać się etycznie pracując w grupie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2026-10-01T04:52:56+02:00</dcterms:created>
  <dcterms:modified xsi:type="dcterms:W3CDTF">2026-10-01T04:52:56+02:00</dcterms:modified>
</cp:coreProperties>
</file>

<file path=docProps/custom.xml><?xml version="1.0" encoding="utf-8"?>
<Properties xmlns="http://schemas.openxmlformats.org/officeDocument/2006/custom-properties" xmlns:vt="http://schemas.openxmlformats.org/officeDocument/2006/docPropsVTypes"/>
</file>