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w:t>
      </w:r>
    </w:p>
    <w:p>
      <w:pPr>
        <w:keepNext w:val="1"/>
        <w:spacing w:after="10"/>
      </w:pPr>
      <w:r>
        <w:rPr>
          <w:b/>
          <w:bCs/>
        </w:rPr>
        <w:t xml:space="preserve">Koordynator przedmiotu: </w:t>
      </w:r>
    </w:p>
    <w:p>
      <w:pPr>
        <w:spacing w:before="20" w:after="190"/>
      </w:pPr>
      <w:r>
        <w:rPr/>
        <w:t xml:space="preserve">dr inż. Roman Barczyk, mgr inż. Błażej Kabziński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 godz. w tym:
•	wykład 15 godz.
•	udział w laboratoriach 30 godz.,
•	konsultacje – 2 godz.
2) Praca własna - 40 godz.
•	przygotowanie do sprawdzianów z wykładu: 10 godz. 
•	przygotowanie do ćwiczeń laboratoryjnych 15 godz. 
•	opracowanie raportów z ćwiczeń laboratoryjnych 15 godz.
RAZEM = 87 godz.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47 godz. w tym:
•	wykład 15 godz,
•	udział w laboratoriach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liczba godzin  -  62 godz. w tym:
•	przygotowanie do ćwiczeń laboratoryjnych 15 godz. 
•	opracowanie raportów z ćwiczeń laboratoryjnych 15 godz.
•	udział w laboratoriach 30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i działaniem zespołów urządzeń multimedialnych, ich parametrami techniczno-eksploatacyjnymi oraz metodyką  projektowania takich urządzeń </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(urządzenia omawiane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Laboratoria
1. Skanery: Profil barwny skanera. Wpływ budowy i typu przetwornika na jakość otrzymanego skanu. Pomiar szumów własnych skanera.
2. Drukarki laserowe: Budowa, działanie, eksploatacja drukarek laserowych, ocena jakości wydruku
3. Drukarki termiczne: Budowa, działanie, eksploatacja drukarek termicznych, ocena jakości wydruku
4. Drukarki atramentowe: Budowa, działanie, eksploatacja drukarek laserowych, ocena jakości wydruku
5. Badanie monitorów: Badanie porównawcze i kalibracja monitorów LCD i CRT, porównanie z profilami barwnymi drukarek
6. Badanie kąta widzenia matrycy LCD (pionowego i poziomego)
7. Druki dla niewidomych: Budowa urządzeń, metody wytwarzania. Parametry jakościowe i trwałościowe
8 .Badanie jakości odbitek typu proof
9. Wykorzystanie czterokamerowego systemu wizyjnego do analizy chodu człowieka</w:t>
      </w:r>
    </w:p>
    <w:p>
      <w:pPr>
        <w:keepNext w:val="1"/>
        <w:spacing w:after="10"/>
      </w:pPr>
      <w:r>
        <w:rPr>
          <w:b/>
          <w:bCs/>
        </w:rPr>
        <w:t xml:space="preserve">Metody oceny: </w:t>
      </w:r>
    </w:p>
    <w:p>
      <w:pPr>
        <w:spacing w:before="20" w:after="190"/>
      </w:pPr>
      <w:r>
        <w:rPr/>
        <w:t xml:space="preserve">Wykład - zaliczenie na podstawie pisemnego sprawdzianu z pytaniami opisowymi, testowymi lub mieszany.
Ćwiczenia laboratoryjne – w ramach zajęć zespoły studenckie wykonują kolejne zadania laboratoryjne, Sprawozdania w postaci raportu z realizacji prac są przedstawiane prowadzącym ćwiczenia  na kolejnych zajęciach laboratoryjnych lub w innym ustalonym z prowadzącym laboratoria terminie. W ramach oceny za dane laboratorium oceniane jest prawidłowość metodologiczna i merytoryczna prowadzenia prac do 2 pkt., raport końcowy (umiejętność sformułowania problemu, przedstawienie sposobu rozwiązania i sformułowanie wniosków) do 3 pkt.
Warunkiem uzyskania oceny pozytywnej jest uzyskanie co najmniej 51% punktów zarówno z zaliczenia wykładu, jak i sumy punktów z ćwiczeń laboratoryjnych. 
Suma zdobytych punktów przeliczana jest na ocenę końcową wg skali:
•	ponad 50 % do 60 %  - ocena 3,0 
•	ponad 60 % do 70 %  - ocena 3,5 
•	ponad 70 % do 80 %  - ocena 4,0 
•	ponad 80 % do 90 %  - ocena 4,5 
•	ponad 90 %                 -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Homann J. "Digital Color Management" Springer-Verlag Berlin Heidelberg, 2009
Ślot K. "Wybrane zagadnienia biometrii", WKiŁ Warszawa, 2008
Anderson R. "Inżynieria zabezpieczeń" PWN Warszawa 2016
Wenchenga Y., Song W., Jiankun H., Guanglou Z., Vallia C. "A fingerprint and finger-vein based cancelable multi-biometric system", Elseviere, Pattern Recognition Vol 78, 2018, 242-251
Pisania P. H.,  Poh N., de Carvalhoa A. C.P.L.F. Lorena A.C. "Score normalization applied to adaptive biometric systems", Elseviere Computers &amp; Security Vol. 70, September 2017, 565-580
Maltoni, D., Maio, D., Jain, A.K., Prabhakar, S., "Handbook of Fingerprint Recognition" Springer-Verlag London, 2009
Trivedi A. K.,   Thounaojam D.M., Pal S., "Non-Invertible cancellable fingerprint template for fingerprint biometric", Elsevier Computers &amp; Security Vol 90, 2020, 101690
Olejnik-Krugły A. "Ocena jakości druku offsetowego z wykorzystaniem systemu ekspertowego", PSZW Bydgoszcz, 2016
Zapka W., " Handbook of Industrial Inkjet Printing" Wiley, 2018
Stutz G,  Marshall G., "Handbook of optical and laser scanning", Boca Raton, FL : CRC Press, 2012
Buczyński L.  „Komputerowe Urządzenia peryferyjne”  Annopol, 2003
Buczyński L. ”Skanery i skanowanie” MIKOM, 2005
Kipphan  H. „Handbook of print media“ Springer Verlag Heidelberg, 2002                                                   
Lindner P. Tuma T., Myska M.  „Wielka księga  fotografii cyfrowej” MIKOM,  2004
Mee, D. “Magnetic Recording”. Vol.III
Baza patentowa USA – www.uspto.gov,  informacje internetowe  ze stron producentów sprzętu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Sprawdzian w czasie wykładu, sprawozdania z zadań laboratoryjnych</w:t>
      </w:r>
    </w:p>
    <w:p>
      <w:pPr>
        <w:spacing w:before="20" w:after="190"/>
      </w:pPr>
      <w:r>
        <w:rPr>
          <w:b/>
          <w:bCs/>
        </w:rPr>
        <w:t xml:space="preserve">Powiązane charakterystyki kierunkowe: </w:t>
      </w:r>
      <w:r>
        <w:rPr/>
        <w:t xml:space="preserve">K_W17, K_W19, 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UMD_U01: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charakterystyki kierunkowe: </w:t>
      </w:r>
      <w:r>
        <w:rPr/>
        <w:t xml:space="preserve">K_U01, K_U11, K_U16, K_U22, K_U26</w:t>
      </w:r>
    </w:p>
    <w:p>
      <w:pPr>
        <w:spacing w:before="20" w:after="190"/>
      </w:pPr>
      <w:r>
        <w:rPr>
          <w:b/>
          <w:bCs/>
        </w:rPr>
        <w:t xml:space="preserve">Powiązane charakterystyki obszarowe: </w:t>
      </w:r>
      <w:r>
        <w:rPr/>
        <w:t xml:space="preserve">P6U_U, I.P6S_UW.o, I.P6S_UK, III.P6S_UW.o, I.P6S_UO</w:t>
      </w:r>
    </w:p>
    <w:p>
      <w:pPr>
        <w:pStyle w:val="Heading3"/>
      </w:pPr>
      <w:bookmarkStart w:id="4" w:name="_Toc4"/>
      <w:r>
        <w:t>Profil ogólnoakademicki - kompetencje społeczne</w:t>
      </w:r>
      <w:bookmarkEnd w:id="4"/>
    </w:p>
    <w:p>
      <w:pPr>
        <w:keepNext w:val="1"/>
        <w:spacing w:after="10"/>
      </w:pPr>
      <w:r>
        <w:rPr>
          <w:b/>
          <w:bCs/>
        </w:rPr>
        <w:t xml:space="preserve">Charakterystyka UMD_K01: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2026-10-01T08:51:29+02:00</dcterms:created>
  <dcterms:modified xsi:type="dcterms:W3CDTF">2026-10-01T08:51:29+02:00</dcterms:modified>
</cp:coreProperties>
</file>

<file path=docProps/custom.xml><?xml version="1.0" encoding="utf-8"?>
<Properties xmlns="http://schemas.openxmlformats.org/officeDocument/2006/custom-properties" xmlns:vt="http://schemas.openxmlformats.org/officeDocument/2006/docPropsVTypes"/>
</file>