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przeciwpożarowa (WN1A_11/01)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Jadwiga Fangrat/adiunkt z habilitacją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WN1A_11/01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(liczba godzin według planu studiów) - 10; zapoznanie się z literaturą - 5; przygotowanie do zaliczenia -10; RAZEM: 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(liczba godzin według planu studiów) - 10h = 0,4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podstawami inżynierii bezpieczeństwa pożarowego budynków. Celem nauczania przedmiotu jest przekazanie wiedzy w zakresie pozwalającym na korzystanie z norm europejskich i przepisów w procesie projektowania.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 Podstawowe pojęcia.
W2-Funkcje elementów  budynku w warunkach pożaru.
W3-Stany krytyczne bezpieczeństwa pożarowego.
W4-Reakcja na ogień.
W5-Toksyczność i dymotwórczość materiałów budowlanych.
W6-Wentylacja pożarowa.
W7-Odporność ogniowa.
W8-Zabezpieczenia ogniochronne.
W9-Rozwiązania elementów i instalacji z uwagi na bezpieczeństwo pożarowe.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oceny dostatecznej z  zaliczenia pisemnego.   Zaliczenie będzie się składał o z pięciu pytań. Za każde pytanie  można uzyskać od 0 do 5 punktów.   Ocena dostateczna - od 15 do 18 punktów pod warunkiem uzyskania  nie mniej niż dwóch punktów za każde pytanie.   Ocena dobra - od 19 do 23 punktów pod warunkiem uzyskania nie  mniej niż trzech punktów za każde pytanie.   Ocena bardzo dobra – od 24 do 25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Kosiorek M. „Bezpieczeństwo pożarowe budynków. Budownictwo  Ogólne” tom 2, rozdz. 9, Arkady, 2005.  Kosiorek M. i inni: cykl artykułów w Materiałach Budowlanych 10/2005  - 3/2007.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W01_04: </w:t>
      </w:r>
    </w:p>
    <w:p>
      <w:pPr/>
      <w:r>
        <w:rPr/>
        <w:t xml:space="preserve">							Ma wiedzę w zakresie fizyki, chemii, fizykochemi spalania, termodynamiki niezbędną do formułowania i rozwiązywania typowych prostych zadań związanych z projektowaniem zabezpieczeń przeciwpożarowych. Ma wiedzę z zakresu wytrzymałości materiałów, konstrukcji żelbetowych, konstrukcji stalowych.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I1A_W01_04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Ma podstawową wiedzę w zakresie stosowania standardów, przepisów i norm związanych z bezpieczeństwem pożarowym budynków.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rozumienia pozatechnicznych aspektów i skutków działalności inżynierskiej w tym jej wpływu na środowisko i bezpieczeństwo ludzi.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2026-09-30T14:35:53+02:00</dcterms:created>
  <dcterms:modified xsi:type="dcterms:W3CDTF">2026-09-30T14:35:53+02:00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