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Kominy stalowe. Rozwiązania konstrukcyjne, obciążenia trwałość konstrukcji.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W06_01: </w:t>
      </w:r>
    </w:p>
    <w:p>
      <w:pPr/>
      <w:r>
        <w:rPr/>
        <w:t xml:space="preserve">Ma podstawową wiedzę o trwałości obiektów budowlanych, o trwałości materiałów i konstrukcji budowlanych, identyfikuje różnice w okresach trwałości elementów i obiektów budowlanych, ma podstawową wiedzę w zakresie doboru typu konstrukcji do wymaganych warunków trwałośi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B1A_W06_01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2026-10-21T21:05:40+02:00</dcterms:created>
  <dcterms:modified xsi:type="dcterms:W3CDTF">2026-10-21T21:05:40+02:00</dcterms:modified>
</cp:coreProperties>
</file>

<file path=docProps/custom.xml><?xml version="1.0" encoding="utf-8"?>
<Properties xmlns="http://schemas.openxmlformats.org/officeDocument/2006/custom-properties" xmlns:vt="http://schemas.openxmlformats.org/officeDocument/2006/docPropsVTypes"/>
</file>