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
Zapoznanie się ze wskazaną literaturą 20h;
Przygotowanie do kolokwium 15h;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organizacji robót kompleksowo zmechanizowanych. Systematyka maszyn i sprzętu budowlanego, charakterystyka i zasady ich wykorzystania 
W2. Wydajność i niezawodność maszyn i ich zestawów w wieloprocesowych pracach budowlanych
W3. Organizacja robót specjalistycznych kompleksowo zmechanizowanych
W4. Technologiczność rozwiązań konstrukcyjno-materiałowych w budownictwie
W5. Środki i organizacja transportu zewnętrznego i wewnętrznego w budownictwie
W6. Rusztowania i pomosty robocze do realizacji robót budowlanych
W7. Efektywność wykorzystania sprzętu budowlanego w organizacji budowy.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ocena pozytywna z  kolokwium.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przy obsłudze maszyn oraz w stosowaniu rusztowań i pomostów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środki mechanizacji zasadniczych procesów budowlanych, potrafi określić ich użyteczność i zasady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W11_01: </w:t>
      </w:r>
    </w:p>
    <w:p>
      <w:pPr/>
      <w:r>
        <w:rPr/>
        <w:t xml:space="preserve">Ma wiedzę dotyczącą zasad organizowania robót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efektywność rozwiązań organizacyjnych wykonywania procesów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2025-07-06T20:27:32+02:00</dcterms:created>
  <dcterms:modified xsi:type="dcterms:W3CDTF">2025-07-06T20:27:32+02:00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