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1 -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BS1A_29_P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30h;
Przygotowanie rysunkówć 15h;
Przygotowanie do obrony 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30h;
Przygotowanie rysunkówć 15h;
Przygotowanie do obrony 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umiejętności:
dokonania identyfikacji przypadku elementarnego zadania wymiarowania konstrukcji żelbetowej i zastosowania w praktyce biegłego posługiwania się wiedzą dotyczącą podstawowych założeń  stosowania aktualnie obowiązującej normy konstrukcyjnej oraz podstawowymi algorytmami obliczania prostych elementów żelbetowych wykorzystania wiedzy w zakresie obliczania i konstruowania elementów żelbetowych, umożliwiające rozwiązywanie prostych zadań związanych w elementarnymi przypadkami obciążeń konstrukcji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P15.
Obliczenia zginanego elementu betonowego
Obliczenia zginanego elementu żelbetowego pojedynczo zbrojonego
Obliczenia zginanego elementu żelbetowego podwójnie zbrojonego
Obliczenia zginanego elementu żelbetowego o kształcie teowym
Rozplanowanie elementów konstrukcyjnych stropu płytowo-zebrowego
Obliczenia statyczno-wytrzymałościowe płyty
Obliczenia statyczno-wytrzymałościowe żebra
Obliczenia statyczno-wytrzymałościowe podciągu
Wykonywanie obwiedni momentów i nosnosci zbrojenia w podciągu
Obliczenia statyczno-wytrzymałościowe słupa
Obliczenia statyczno-wytrzymałościowe stopy żelbetowej
Wykonywanie rysunków konstrukcyjnych
Wykonywanie rysunków konstrukcyjnych
Wykonywanie rysunków konstrukcyjnych
Złożenie i obrona projektu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 obecność na wszystkich ćwiczeniach projektowych.Warunkiem zaliczenia przedmiotu jest terminowe samodzielne wykonanie projektu i jego obrona ustna.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1.Podstawy projektowania konstrukcji żelbetowych i sprężonych wg Eurokodu 2. Sekcja Konstrukcji Betonowych KILiW PAN, DWE. Wrocław 2006.                                  
2.  Starosolski W., Konstrukcje żelbetowe wg Eurokodu 2 i norm związanych. PWN Warszawa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w zakresie obliczania i konstruowania elementów żelbetowych, umożliwiającą rozwiązywanie prostych zadań związanych w elementarnymi przypadkami obciążeń konstrukcji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Wykorzystuje oprogramowanie komputerowe do rysunków.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(P11-P13),                                                 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 dokonać oceny ekonomicznej przy wyborze rozwiązania konstrukcyjnego.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 Potrafi identyfikować schematy statyczne konstrukcji w celu jej wymiarowania.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 w konkretnym zadaniu inżynierskim stosowanych w mechanice konstrukcji metod rozwiązywania układów sił i wyznaczania reakcji więzów. Potrafi wybrać właściwy sposób modelowania ustrojów prętowych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K01_02: </w:t>
      </w:r>
    </w:p>
    <w:p>
      <w:pPr/>
      <w:r>
        <w:rPr/>
        <w:t xml:space="preserve">Rozumie potrzebę zdobycia uprawnień budowlanych umożliwiających samodzielną działalność inżynierską.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2026-08-21T15:40:40+02:00</dcterms:created>
  <dcterms:modified xsi:type="dcterms:W3CDTF">2026-08-21T15:40:40+02:00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