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środowiska wirtualnego</w:t>
      </w:r>
    </w:p>
    <w:p>
      <w:pPr>
        <w:keepNext w:val="1"/>
        <w:spacing w:after="10"/>
      </w:pPr>
      <w:r>
        <w:rPr>
          <w:b/>
          <w:bCs/>
        </w:rPr>
        <w:t xml:space="preserve">Koordynator przedmiotu: </w:t>
      </w:r>
    </w:p>
    <w:p>
      <w:pPr>
        <w:spacing w:before="20" w:after="190"/>
      </w:pPr>
      <w:r>
        <w:rPr/>
        <w:t xml:space="preserve"> Mgr inż. Piotr Pełka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1120-INCAD-MSP-0112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zajęciach projektowych – 45 h
    b) konsultacje – 5 h
2. praca własna studenta – 110 h; w tym
    a) zapoznanie się z literaturą – 15 h
    b) przygotowywanie się do zajęć projektowych – 95 h
Razem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się do zajęć projektowych – 95 h
Razem 140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znajomość podstawowych algorytmów i metod modelowania geometrycznego i grafiki komputerowej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wspierającymi tworzenie środowisk wirtualnych.</w:t>
      </w:r>
    </w:p>
    <w:p>
      <w:pPr>
        <w:keepNext w:val="1"/>
        <w:spacing w:after="10"/>
      </w:pPr>
      <w:r>
        <w:rPr>
          <w:b/>
          <w:bCs/>
        </w:rPr>
        <w:t xml:space="preserve">Treści kształcenia: </w:t>
      </w:r>
    </w:p>
    <w:p>
      <w:pPr>
        <w:spacing w:before="20" w:after="190"/>
      </w:pPr>
      <w:r>
        <w:rPr/>
        <w:t xml:space="preserve">Projekt:
Grupowy projekt obejmuje skonstruowanie lub wybór istniejącego silnika gry oraz stworzenie gry opartej o ten silnik. Projekt składa się z podstawowych komponentów:
- logiki gry (zarządzanie zdarzeniami i obiektami, AI przeciwników, sieć,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prezentacji/referatu oraz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V.L. Arnold, Metody matematyczne mechaniki klasycznej, PWN, Warszawa 1981.
2. M. DeLoura, D. Treglia, Perełki programowania gier, Tom 1, 2 i 3, Helion, 2002.
3. J.G. de Jalon, E. Bayo, Kinematic and dynamic simulation of multibody systems, Springer-Verlag New York 1994.
4. E.J. Haug, R. C. Deyo, Real-time integration methods for mechanical system simu-lation, Springer-Verlag Berlin Heidelberg 1991.
5. J. Manerowski, Identyfikacja modelu dynamiki ruchu sterowanych obiektów lata-jących, WN ASKON, Warszawa 1999.
6. G.D. Padfield, Dynamika lotu śmigłowców, WKiŁ, Warszawa 1998.
7. A.A. Shabana, Dynamics of Multibody Systems, Cambridge University Press.
8. K. Stefański, Wstęp do mechaniki klasycznej, PWN, Warszawa 1999.
9. Y. Takahashi, M.J. Robins, D.M. Auslander,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narzędzia i technologie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I2CC_W03, I2CC_W04, I2CC_W06, I2_W03, I2_W06**, I2_W07**, I2CC_W01, I2CC_W02</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Posiada umiejętność gromadzenia, selekcji i krytycznej interpretacji informacji technicznej, zdolność formułowania poglądów, idei, hipotez,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I2_U01, I2_U06, I2_U09, I2CC_U01, I2CC_U09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I2_U05, I2CC_U01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I2_U03, I2_U15**, I2CC_U02, I2CC_U03, I2CC_U04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I2CC_U05</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myślenia i działania w sposób kreatywny i przedsiębiorczy</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2026-10-01T21:48:31+02:00</dcterms:created>
  <dcterms:modified xsi:type="dcterms:W3CDTF">2026-10-01T21:48:31+02:00</dcterms:modified>
</cp:coreProperties>
</file>

<file path=docProps/custom.xml><?xml version="1.0" encoding="utf-8"?>
<Properties xmlns="http://schemas.openxmlformats.org/officeDocument/2006/custom-properties" xmlns:vt="http://schemas.openxmlformats.org/officeDocument/2006/docPropsVTypes"/>
</file>