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2</w:t>
      </w:r>
    </w:p>
    <w:p>
      <w:pPr>
        <w:keepNext w:val="1"/>
        <w:spacing w:after="10"/>
      </w:pPr>
      <w:r>
        <w:rPr>
          <w:b/>
          <w:bCs/>
        </w:rPr>
        <w:t xml:space="preserve">Koordynator przedmiotu: </w:t>
      </w:r>
    </w:p>
    <w:p>
      <w:pPr>
        <w:spacing w:before="20" w:after="190"/>
      </w:pPr>
      <w:r>
        <w:rPr/>
        <w:t xml:space="preserve"> Dr hab. Anna Dembińska, Dr hab. Bogusława Karpińska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1120-IN000-ISP-0121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–98 h; w tym
	a) obecność na wykładach – 45 h
	b) obecność na ćwiczeniach – 45 h
	c) konsultacje – 5 h
	d) obecność na egzaminie – 3 h
2. praca własna studenta – 70 h; w tym
	a) przygotowanie do ćwiczeń i kolokwiów– 45 h
	b) zapoznanie się z literaturą – 10 h
	c) przygotowanie do egzaminu – 15 h
Razem 168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4. obecność na egzaminie – 3 h
Razem 98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1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 badania zbieżności szeregów  liczbowych i funkcyjnych 
- liczenia granic i pochodnych  cząstkowych funkcji wielu zmiennych
- badania ekstremów funkcji wielu zmiennych
- liczenia całek wielokrotnych Riemanna.</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 Twierdzenie Abela. Promień zbieżności szeregu potęgowego, twierdzenie Cauchy’ego-Hadamarda. Całkowanie i różniczkowanie szeregu funkcyjnego wyraz po wyrazie. Szereg Taylora i Maclaurina. Rozwijanie funkcji w szereg Taylora. Rozwinięcie funkcji ekspotencjalnej, sinus i cosinus w szereg Maclaurina. Wzory Eulera. Szereg trygonometryczny Fouriera. Warunki Dirichleta. Twierdzenie Dirichleta. Rozwijanie funkcji w szereg sinusów i cosinusów.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Miara Jordana w Rn. Definicja i własności całki Riemanna. Obszary normalne. Całki iterowane. Twierdzenie o całkowaniu przez podstawienie. Całki podwójne i potrójne. Interpretacja geometryczna całki podwójnej i potrójnej.</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W. Kołodziej, Analiza matematyczna, PWN, Warszawa, 1978.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teorię szeregów liczbowych i szeregów funkcyjnych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teorię całek wielokrotnych Riemanna i metody ich całkowania w różnych układach współrzędnych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K_U09, K_U01, K_U02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2026-09-30T08:12:40+02:00</dcterms:created>
  <dcterms:modified xsi:type="dcterms:W3CDTF">2026-09-30T08:12:40+02:00</dcterms:modified>
</cp:coreProperties>
</file>

<file path=docProps/custom.xml><?xml version="1.0" encoding="utf-8"?>
<Properties xmlns="http://schemas.openxmlformats.org/officeDocument/2006/custom-properties" xmlns:vt="http://schemas.openxmlformats.org/officeDocument/2006/docPropsVTypes"/>
</file>