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akademicki, upoważniony przez RW do kierowania pracą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wskazana literaturą - 100, opracowanie wyników - 200, napisanie sprawozdania - 150, przygotowanie do egzaminu - 50; Razem - 500h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ze wskazana literaturą - 100, opracowanie wyników - 200, napisanie sprawozdania - 150, przygotowanie do egzaminu - 50; Razem - 500h = 20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specjalnościowe.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magisterską ma wykazać się pogłębioną znajomością podstawowej wiedzy teoretycznej i doświadczalnej w danej dziedzinie oraz umiejętnością rozwiązywania złożonych problemów wymagających zastosowania tej wiedzy.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ogólną uporządkowaną wiedzę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Zna technologie inżynierskie w zakresie technologii chemicznej, w tym szczególnie w zakresie technologii rafineryjnej, petrochemicznej, technologii materiałów polimerowych i technologii pokrewnych..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różnych źródeł do rozwiązania problemów zadania dyplomowego 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programy komputerowe opracowania rysunków, przeprowadzenia analiz niezbędnych w rozwiązaniu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przy rozwiązywaniu zadań inżynierskich integrować wiedzę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Potrafi dokonać krytycznej oceny procesów technologicznych, rozwiązań technicznych lub organizacyjnych stosowanych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 i 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K07: </w:t>
      </w:r>
    </w:p>
    <w:p>
      <w:pPr/>
      <w:r>
        <w:rPr/>
        <w:t xml:space="preserve">Ma świadomość profesjonalnego podejścia do tworzenia opracowań 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2026-10-21T17:40:42+02:00</dcterms:created>
  <dcterms:modified xsi:type="dcterms:W3CDTF">2026-10-21T17:40:42+02:00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