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Obrót niebezpiecznymi substancjami chemicznymi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Lorek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CS1A_22/02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z zakresu obrotu niebezpiecznymi substancjami chemicznymi.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Źródła prawa w zakresie niebezpiecznych substancji chemicznych. Karty charakterystyk substancji niebezpiecznych. Transport drogowy materiałów niebezpiecznych. Wprowadzanie substancji niebezpiecznych do obrotu na terytorium Polski. Obrót paliwami płynnymi.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Dzienniki Ustaw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W19: </w:t>
      </w:r>
    </w:p>
    <w:p>
      <w:pPr/>
      <w:r>
        <w:rPr/>
        <w:t xml:space="preserve">Ma wiedzę w zakresie obrotu substancji niebezpiecznych oraz ich transportu drogowego.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korzystać z informacji literaturowych, baz danych oraz innych źródeł na temat  wprowadzania do obrotu oraz transportu produktów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Ma umiejętność samokształcenia się w zakresie obrotu substancji niebezpiecznych.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U18: </w:t>
      </w:r>
    </w:p>
    <w:p>
      <w:pPr/>
      <w:r>
        <w:rPr/>
        <w:t xml:space="preserve">Potrafi korzystać  z kart charakterystyki substancji niebezpiecznych.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skutki wpływu stosowania substancji niebezpiecznych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2025-07-09T09:26:22+02:00</dcterms:created>
  <dcterms:modified xsi:type="dcterms:W3CDTF">2025-07-09T09:26:22+02:00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