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ruchu drogowego w mieście</w:t>
      </w:r>
    </w:p>
    <w:p>
      <w:pPr>
        <w:keepNext w:val="1"/>
        <w:spacing w:after="10"/>
      </w:pPr>
      <w:r>
        <w:rPr>
          <w:b/>
          <w:bCs/>
        </w:rPr>
        <w:t xml:space="preserve">Koordynator przedmiotu: </w:t>
      </w:r>
    </w:p>
    <w:p>
      <w:pPr>
        <w:spacing w:before="20" w:after="190"/>
      </w:pPr>
      <w:r>
        <w:rPr/>
        <w:t xml:space="preserve">dr inż. Tomasz Krukowicz,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ćwiczeniach projektowych 18 godz., studiowanie literatury przedmiotu 24 godz., przygotowanie się do egzaminu 12 godz., realizacja pracy projektowej poza godzinami zajęć 63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projektowych 18 godz., realizacja pracy projektowej poza godzinami zajęć 63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podstawowych zasad projektowania organizacji ruchu oraz procedur administracyjnych związanych z zarządzaniem ruchem drogowym.</w:t>
      </w:r>
    </w:p>
    <w:p>
      <w:pPr>
        <w:keepNext w:val="1"/>
        <w:spacing w:after="10"/>
      </w:pPr>
      <w:r>
        <w:rPr>
          <w:b/>
          <w:bCs/>
        </w:rPr>
        <w:t xml:space="preserve">Treści kształcenia: </w:t>
      </w:r>
    </w:p>
    <w:p>
      <w:pPr>
        <w:spacing w:before="20" w:after="190"/>
      </w:pPr>
      <w:r>
        <w:rPr/>
        <w:t xml:space="preserve">Wykład: 
Cele i środki stosowane w organizacji ruchu drogowego. Zarządzanie ruchem drogowym. Znaki drogowe pionowe. Znaki drogowe poziome Uspokojenie ruchu. Organizacja ruchu pieszego. Organizacja ruchu rowerowego. Parkowanie w mieście.
Zajęcia projektowe: 
Projekt geometrii odcinka ulicy wraz ze skrzyżowaniem. Wykonanie projektu organizacji ruchu.
</w:t>
      </w:r>
    </w:p>
    <w:p>
      <w:pPr>
        <w:keepNext w:val="1"/>
        <w:spacing w:after="10"/>
      </w:pPr>
      <w:r>
        <w:rPr>
          <w:b/>
          <w:bCs/>
        </w:rPr>
        <w:t xml:space="preserve">Metody oceny: </w:t>
      </w:r>
    </w:p>
    <w:p>
      <w:pPr>
        <w:spacing w:before="20" w:after="190"/>
      </w:pPr>
      <w:r>
        <w:rPr/>
        <w:t xml:space="preserve">Wykład: 
Ocena końcowa wystawiana jest jako najwyższa z ocen uzyskanych z poszczególnych terminów egzaminu 
Zajęcia projektowe: 
Ocena wykonanego projektu uwzględniająca następujące czynniki: systematyczność wykonywania projektu, jakość merytoryczną wykonania projektu, jakość edytorską wykonania projektu, ustna obronę projektów sprawdzającą posiadaną wiedzę  
Ocena zintegrowana jest wystawiana jako średnia na podstawie oceny z wykładu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Wytyczne projektowania ulic – GDDP, Warszawa 1992 
2. Wytyczne projektowania skrzyżowań drogowych – GDDP, Warszawa, 2001
3. Rozporządzenie Ministra Transportu i Gospodarki Morskiej z dnia 2 marca 1999 r. w sprawie warunków technicznych, jakim powinny odpowiadać drogi publiczne i ich usytuowanie. (tekst jednolity Dz. U. poz. 124 z 2016 r.) 
4. Rozporządzenie Ministra Infrastruktury z dnia 3 lipca 2003 r. w sprawie szczegółowych warunków technicznych dla znaków i sygnałów drogowych oraz urządzeń bezpieczeństwa ruchu drogowego i warunków ich umieszczania na drogach (t.j. Dz. U. z 2019 r. poz. 2311 z późn. zm.). poz. 2311.
5. Metoda obliczania przepustowości skrzyżowań z sygnalizacją świetlną – GDDKiA, Warszawa, 2004 
6. Rozporządzenie Ministra Infrastruktury i Rozwoju w sprawie warunków technicznych, jakim powinny odpowiadać skrzyżowania linii kolejowych oraz bocznic kolejowych z drogami i ich usytuowanie (Dz. U. poz. 1744 z 2015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Uzyskał wiedzę w zakresie projektowania oznakowania poziomego i pionowego dróg, ulic oraz skrzyżowań. Zdobył wiedzę w zakresie procedur administracyjnych związanych z zarządzaniem ruchem drogowym.</w:t>
      </w:r>
    </w:p>
    <w:p>
      <w:pPr>
        <w:spacing w:before="60"/>
      </w:pPr>
      <w:r>
        <w:rPr/>
        <w:t xml:space="preserve">Weryfikacja: </w:t>
      </w:r>
    </w:p>
    <w:p>
      <w:pPr>
        <w:spacing w:before="20" w:after="190"/>
      </w:pPr>
      <w:r>
        <w:rPr/>
        <w:t xml:space="preserve">Egzamin pisemny.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właściwe dane do projektowania z norm, wytycznych, instrukcji oraz przepisów prawa, potrafi dokonać ich krytycznej oceny oraz interpretacji oraz wykorzystywać je podczas projektowania.</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samodzielnego przygotowania prostych rysunków związanych z projektami w zakresie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posługiwać się narzędziami komputerowymi wspomagającymi projektowanie w zakresie drogownictwa oraz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2026-06-26T11:09:49+02:00</dcterms:created>
  <dcterms:modified xsi:type="dcterms:W3CDTF">2026-06-26T11:09:49+02:00</dcterms:modified>
</cp:coreProperties>
</file>

<file path=docProps/custom.xml><?xml version="1.0" encoding="utf-8"?>
<Properties xmlns="http://schemas.openxmlformats.org/officeDocument/2006/custom-properties" xmlns:vt="http://schemas.openxmlformats.org/officeDocument/2006/docPropsVTypes"/>
</file>