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transportu miejskiego</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119 godz., w tym: praca na wykładach 18 godz., praca na ćwiczeniach projektowych 18 godz., studiowanie literatury przedmiotu 13 godz., przygotowanie się do egzaminu 12 godz., realizacja pracy projektowej poza godzinami zajęć 53 godz., konsultacje 2 godz. (w tym konsultacje w zakresie ćwiczeń projektowych 1 godz.), obrona pracy projektowej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(41 godz., w tym: praca na wykładach 18 godz., praca na ćwiczeniach projektowych 18 godz., konsultacje 2 godz., obrona pracy projektowej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(73 godz., w tym: praca na ćwiczeniach projektowych 18 godz., realizacja pracy projektowej poza godzinami zajęć 53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Zapoznanie z zasadami: polityki komunikacyjnej, planowania i projektowania systemów transportowych na poziomie krajowym i miejskim, klasyfikacji i charakterystyk środków transportu, wpływu transportu drogowego na środowisko, ocen ekonomicznej efektywności systemów i inwestycji w transporcie miejskim, doboru metod oceny ekonomicznej rozwiązań.
Uzyskanie wiedzy z zakresu metod i zasad tworzenia sieci transportu publicznego w obszarze zurbanizowanym. </w:t>
      </w:r>
    </w:p>
    <w:p>
      <w:pPr>
        <w:keepNext w:val="1"/>
        <w:spacing w:after="10"/>
      </w:pPr>
      <w:r>
        <w:rPr>
          <w:b/>
          <w:bCs/>
        </w:rPr>
        <w:t xml:space="preserve">Treści kształcenia: </w:t>
      </w:r>
    </w:p>
    <w:p>
      <w:pPr>
        <w:spacing w:before="20" w:after="190"/>
      </w:pPr>
      <w:r>
        <w:rPr/>
        <w:t xml:space="preserve">Wykład: 
Polityka komunikacyjna, planowanie i strategie. System transportu w miastach: Pomiary i badania ruchu. Modele i prognozy ruchu. Środki transportu. Klasyfikacja środków transportu, charakterystyka współczesnych form i środków transportu, zakres stosowania środków przewozowych, perspektywy postępu w technice i technologii transportu, ogólne zasady wyboru środków transportu dla warunków polskich. Akty prawne dotyczące transportu publicznego. Układanie rozkładów jazdy i taryfy przewozowe. Ocena efektywności rozwiązań. Rodzaje i zakres ocen ekonomicznej efektywności systemów i inwestycji w transporcie miejskim, dobór metod oceny ekonomicznej efektywności, metody oceny, wybrane metody oceny ekonomicznej efektywności rozwiązań, oddziaływanie transportu na środowisko: Charakter i klasyfikacja uciążliwości, metody obliczeń oddziaływania transportu na otoczenie. Projektowanie miast w oparciu o optymalną sieć komunikacji zbiorowej. 
Ćwiczenia projektowe: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w:t>
      </w:r>
    </w:p>
    <w:p>
      <w:pPr>
        <w:keepNext w:val="1"/>
        <w:spacing w:after="10"/>
      </w:pPr>
      <w:r>
        <w:rPr>
          <w:b/>
          <w:bCs/>
        </w:rPr>
        <w:t xml:space="preserve">Metody oceny: </w:t>
      </w:r>
    </w:p>
    <w:p>
      <w:pPr>
        <w:spacing w:before="20" w:after="190"/>
      </w:pPr>
      <w:r>
        <w:rPr/>
        <w:t xml:space="preserve">Wykład:
Egazmin pisemny, konieczne uzyskanie powyżej 50% punktów.
Ćwiczenia projektowe:
Ocena wykonanego projektu uwzględniająca następujące czynniki: systematyczność wykonywania projektu, jakość merytoryczną wykonania projektu, jakość edytorską wykonania projektu, ustna obronę projektów sprawdzająca posiadaną wiedzę.
Ocena zintegrowana:
Średnia arytmetyczna z 2 ocen.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Podoski J.: Transport w miastach. WKiŁ, Warszawa 1985 
2. Kubalski J., Małek P., Mroczek K., Komunikacja autobusowa, WKiŁ, Warszawa 1968
3. Wyszomirski O., Transport Miejski: Ekonomika i organizacja. WUG, Gdańsk 2008
4. Gaca S., Suchorzewski W., Tracz M.: "Inżynieria ruchu drogowego", WKiŁ 2011
5. Rudnicki A.: Jakość komunikacji miejskiej, wyd: Zeszyty Naukowo-Techniczne Oddz. SITK w Krakowie, Seria Monografie Nr 5 (zeszyt 71) ISSN 1231-9155Warszawa, 2004
6. Miesięczniki: „Transport Miejski i Regionalny”,  „Przegląd Komunikacyjny”
7. Ustawy dotyczące transportu zbiorowego i  przewozów pasażerskich (Dz. U. 5 poz. 13 z 2011 r., Dz. U. 2017 poz. 459, Dz. U. 1984 nr 53 poz. 272, Dz. U. 2012 poz. 451)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oraz dla sporządzanie rozkładu jazdy i wykresu ruchu dla linii.</w:t>
      </w:r>
    </w:p>
    <w:p>
      <w:pPr>
        <w:spacing w:before="60"/>
      </w:pPr>
      <w:r>
        <w:rPr/>
        <w:t xml:space="preserve">Weryfikacja: </w:t>
      </w:r>
    </w:p>
    <w:p>
      <w:pPr>
        <w:spacing w:before="20" w:after="190"/>
      </w:pPr>
      <w:r>
        <w:rPr/>
        <w:t xml:space="preserve">Egzamin pisemny: 5 pytań, wymagane zdobycie powyżej 50%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oceniać i porównywać efektywność rozwiązań i inwestycji w transporcie miejskim.</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2026-10-02T02:32:05+02:00</dcterms:created>
  <dcterms:modified xsi:type="dcterms:W3CDTF">2026-10-02T02:32:05+02:00</dcterms:modified>
</cp:coreProperties>
</file>

<file path=docProps/custom.xml><?xml version="1.0" encoding="utf-8"?>
<Properties xmlns="http://schemas.openxmlformats.org/officeDocument/2006/custom-properties" xmlns:vt="http://schemas.openxmlformats.org/officeDocument/2006/docPropsVTypes"/>
</file>