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44 godz. = 2 ECTS: wykłady 24 godz., przygotowanie do zliczenia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 = 2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
</w:t>
      </w:r>
    </w:p>
    <w:p>
      <w:pPr>
        <w:keepNext w:val="1"/>
        <w:spacing w:after="10"/>
      </w:pPr>
      <w:r>
        <w:rPr>
          <w:b/>
          <w:bCs/>
        </w:rPr>
        <w:t xml:space="preserve">Metody oceny: </w:t>
      </w:r>
    </w:p>
    <w:p>
      <w:pPr>
        <w:spacing w:before="20" w:after="190"/>
      </w:pPr>
      <w:r>
        <w:rPr/>
        <w:t xml:space="preserve">Samodzielne rozwiązanie zadania polegającego na zaprojektowaniu trasy kablowej w elemencie prefabrykowanym. Czas trwania zadania – 45 minut.przystąpienia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K2_U17_IPB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K2_K01, K2_K02, K2_K03, K2_K04, K2_K05</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2026-10-21T13:24:34+02:00</dcterms:created>
  <dcterms:modified xsi:type="dcterms:W3CDTF">2026-10-21T13:24:34+02:00</dcterms:modified>
</cp:coreProperties>
</file>

<file path=docProps/custom.xml><?xml version="1.0" encoding="utf-8"?>
<Properties xmlns="http://schemas.openxmlformats.org/officeDocument/2006/custom-properties" xmlns:vt="http://schemas.openxmlformats.org/officeDocument/2006/docPropsVTypes"/>
</file>