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16h, egzamin 2h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Greń J. – Zadania i modele statystyki matematycznej. PWN. 
[2] Smirnow, Dunin-Barkowski – Kurs rachunku prawdopodobieństwa i statystyki dla zastosowań technicznych. PWN. 
[3] Jaworski K.M. – Metodologia projektowania realizacji budowy. PWN. 
[4] Stark M., Nicholls R.L. – Matematyczne podstawy projektowania inżynierskiego. PWN. 
[5]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K2_W01: </w:t>
      </w:r>
    </w:p>
    <w:p>
      <w:pPr/>
      <w:r>
        <w:rPr/>
        <w:t xml:space="preserve">Ma pogłębioną wiedzę z matematyki pozwalającą formułować i rozwiązywać zagadnienia budownictwa przy wykorzystaniu środków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K2_U01: </w:t>
      </w:r>
    </w:p>
    <w:p>
      <w:pPr/>
      <w:r>
        <w:rPr/>
        <w:t xml:space="preserve">Umie korzystać z narzędzi matematycznych w planowaniu, projektowaniu i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K2_U02: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K2_K02: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2026-05-06T17:29:25+02:00</dcterms:created>
  <dcterms:modified xsi:type="dcterms:W3CDTF">2026-05-06T17:29:25+02:00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