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do wyboru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Zgodnie z wybranym przedmiotem.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8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3 ECTS: godziny pracy studenta zgodnie z opisem wybranego przedmiotu.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30 godzin zajęć z nauczycielem akademickim.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Zgodnie z opisem wybranego przedmiotu.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Wymagania wstępne podane są w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Zgodny z wybranym typem zajęć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szczegółowej wiedzy związanej z wybranymi zagadnieniami z zakresu budownictwa zgodnie z zainteresowaniami studenta, przedstawienie trendów rozwojowych w budownictwie i kształtowanie umiejętności rozumienia technicznych i pozatechnicznych aspektów działalności inżynierskiej.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Treści merytoryczne podane są w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Metody oceny podane są w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Spis lektur podany jest w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W1: </w:t>
      </w:r>
    </w:p>
    <w:p>
      <w:pPr/>
      <w:r>
        <w:rPr/>
        <w:t xml:space="preserve">Przekazanie szczegółowej wiedzy związanej z wybranymi zagadnieniami z zakresu budownictwa zgodnie z zainteresowaniami studenta, przedstawienie trendów rozwojowych w budownictwie.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właściwa dla wybranego przedmiotu.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K1_W14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pStyle w:val="Heading3"/>
      </w:pPr>
      <w:bookmarkStart w:id="3" w:name="_Toc3"/>
      <w:r>
        <w:t>Profil ogólnoakademicki - kompetencje społeczne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K1: </w:t>
      </w:r>
    </w:p>
    <w:p>
      <w:pPr/>
      <w:r>
        <w:rPr/>
        <w:t xml:space="preserve">Kształtowanie umiejętności rozumienia technicznych i pozatechnicznych aspektów działalności inżynierskiej.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właściwa dla wybranego przedmiotu.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K1_K01, K1_K07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I.P6S_KR, I.P6S_KK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2026-10-21T12:58:18+02:00</dcterms:created>
  <dcterms:modified xsi:type="dcterms:W3CDTF">2026-10-21T12:58:18+02:00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