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do wyboru szt.3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 x 2 ECTS = 6 ECTS: godziny pracy studenta zgodnie z opisem wybranego przedmiotu.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 x 30 godz. = 90 godz. = 3,5 ECTS: 3 przedmioty po 30 godzin zajęć z nauczycielem akademickim każdy.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 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: </w:t>
      </w:r>
    </w:p>
    <w:p>
      <w:pPr/>
      <w:r>
        <w:rPr/>
        <w:t xml:space="preserve">Kształtowanie umiejętności rozumienia technicznych i pozatechnicznych aspektów działalności inżynierskiej.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2026-10-21T13:31:35+02:00</dcterms:created>
  <dcterms:modified xsi:type="dcterms:W3CDTF">2026-10-21T13:31:35+02:00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