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do wyboru szt.3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 x 2 ECTS = 6 ECTS: godziny pracy studenta zgodnie z opisem wybranego przedmiotu.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 x 30 godz. = 90 godz. = 3,5 ECTS: 3 przedmioty po 30 godzin zajęć z nauczycielem akademickim każdy.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 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 : </w:t>
      </w:r>
    </w:p>
    <w:p>
      <w:pPr/>
      <w:r>
        <w:rPr/>
        <w:t xml:space="preserve">Kształtowanie umiejętności rozumienia technicznych i pozatechnicznych aspektów działalności inżynierskiej.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2026-07-28T08:24:22+02:00</dcterms:created>
  <dcterms:modified xsi:type="dcterms:W3CDTF">2026-07-28T08:24:22+02:00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