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wieloskalowe.</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dwa bezpośrednio po zakończeniu wykładów w sesji zimowej.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Warunkiem zaliczenia projektu jest: złożenie projektu w terminie, poprawne wykonanie projektu oraz zaliczenie ustnego sprawdzianu (tzw. obrona projektu). Projekt może być zaliczony, jeżeli student uzyska co najmniej 60% maksymalnej liczby punktów za projekt. Projekt oceniany jest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 K2_U06, K2_U04</w:t>
      </w:r>
    </w:p>
    <w:p>
      <w:pPr>
        <w:spacing w:before="20" w:after="190"/>
      </w:pPr>
      <w:r>
        <w:rPr>
          <w:b/>
          <w:bCs/>
        </w:rPr>
        <w:t xml:space="preserve">Powiązane charakterystyki obszarowe: </w:t>
      </w:r>
      <w:r>
        <w:rPr/>
        <w:t xml:space="preserve">I.P7S_UW.o, III.P7S_UW.o, P7U_U, III.P6S_UW.o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2026-10-21T13:49:41+02:00</dcterms:created>
  <dcterms:modified xsi:type="dcterms:W3CDTF">2026-10-21T13:49:41+02:00</dcterms:modified>
</cp:coreProperties>
</file>

<file path=docProps/custom.xml><?xml version="1.0" encoding="utf-8"?>
<Properties xmlns="http://schemas.openxmlformats.org/officeDocument/2006/custom-properties" xmlns:vt="http://schemas.openxmlformats.org/officeDocument/2006/docPropsVTypes"/>
</file>