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30
3. Godziny pracy samodzielnej studenta w ramach przygotowania do zajęć oraz opracowania sprawozdań, projektów, prezentacji, raportów, prac domowych etc.	23
4. Godziny pracy samodzielnej studenta w ramach przygotowania do egzaminu, sprawdzianu, zaliczenia etc.	45
Sumaryczny nakład pracy studenta	143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1. 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(15 wykładów po 3 godz.), na którym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Egzamin ma charakter pisemny. 
Egzamin pisemny trwa 120 minut. Do wykonania są 4 zadania – każde zadanie punktowane w skali od 0 do 10 punktów. Pozwala to na uzyskanie do 40 punktów z części pisemnej. 
Skala ocen z egzaminu w zależności od liczby uzyskanych punktów: 
(20,0 – 23,5) ocena: 3,0 
(24,0 – 27,5) ocena: 3,5 
(28,0 - 31,5) ocena: 4,0 
(32,0 – 35,5) ocena: 4,5 
(36,0 – 40,0) ocena: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dotycząca bilansowania reaktorów idealnych z uwzględnieniem kinetyk reakcji prostych i złożonych przebiegających w układach homogenicznych. Posiada podstawową wiedzę umożliwiającą uwzględnianie efektów cieplnych reakcji w bilansach reaktorów idealnych.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dotyczącą opisu pracy reaktorów nieidealnych (rzeczywistych) z uwzględnianiem problemów stabilności pracy reaktorów oraz wpływu makro i mikromieszania na stopień przemiany i selektywność przebiegu reakcji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dotyczącą problemu opisu i bilansowania bioreaktorów z uwzględnieniem specyficznych kinetyk katalizy enzymatycznej w układach homogenicznych oraz w układach                z enzymami unieruchomionymi.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przedstawić podstawowe bilanse reaktorów idealnych. Potrafi projektować procesy zachodzące w reaktorach z udziałem homogenicznych reakcji chemicznych, przy założeniu o idealnym mieszaniu, w układach pracujących w warunkach izotermicznych i adiabatycznych. </w:t>
      </w:r>
    </w:p>
    <w:p>
      <w:pPr>
        <w:spacing w:before="60"/>
      </w:pPr>
      <w:r>
        <w:rPr/>
        <w:t xml:space="preserve">Weryfikacja: </w:t>
      </w:r>
    </w:p>
    <w:p>
      <w:pPr>
        <w:spacing w:before="20" w:after="190"/>
      </w:pPr>
      <w:r>
        <w:rPr/>
        <w:t xml:space="preserve">egzamin ustny, egzamin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projektować podstawowe procesy zachodzące w reaktorach rzeczywistych z uwzględnieniem wpływu makro i mikromieszania na przebieg prostych i złożonych reakcji chemicznych. Potrafi określać  stabilność pracy reaktorów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U3: </w:t>
      </w:r>
    </w:p>
    <w:p>
      <w:pPr/>
      <w:r>
        <w:rPr/>
        <w:t xml:space="preserve">Ma podstawowe umiejętności z zakresu projektowania pracy bioreaktorów, ze szczególnym uwzględnieniem reakcji katalizowanych przez enzymy homogeniczne i enzymy unieruchomione.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2026-10-21T15:36:47+02:00</dcterms:created>
  <dcterms:modified xsi:type="dcterms:W3CDTF">2026-10-21T15:36:47+02:00</dcterms:modified>
</cp:coreProperties>
</file>

<file path=docProps/custom.xml><?xml version="1.0" encoding="utf-8"?>
<Properties xmlns="http://schemas.openxmlformats.org/officeDocument/2006/custom-properties" xmlns:vt="http://schemas.openxmlformats.org/officeDocument/2006/docPropsVTypes"/>
</file>