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pierwszy etap kursu. 
Idealnie umiejętności odpowiadające A2+/B1:
Osoba posługująca się językiem na tym poziomie rozumie znaczenie głównych wątków przekazu zawartego w jasnych, standardowych wypowiedziach, które dotyczą znanych jej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bądź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Drugi etap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główne zagadnienia: strona bierna, powiązane konstrukcje mowa zależna, verb patterns, pytania pośrednie 
Zakresy tematyczne: Rodzaje środków transportu towaru, powiązane problemy logistyczne i konserwacyjne, rodzaje ładunku</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U06: </w:t>
      </w:r>
    </w:p>
    <w:p>
      <w:pPr/>
      <w:r>
        <w:rPr/>
        <w:t xml:space="preserve">Posiada umiejętność pracy w grupie, dostosowania rejestru wypowiedzi do różnych sytuacji (np. na gruncie towarzyskim i oficjalnym), prowadzenia rozmowy i dyskusji. 	</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2026-10-21T16:10:01+02:00</dcterms:created>
  <dcterms:modified xsi:type="dcterms:W3CDTF">2026-10-21T16:10:01+02:00</dcterms:modified>
</cp:coreProperties>
</file>

<file path=docProps/custom.xml><?xml version="1.0" encoding="utf-8"?>
<Properties xmlns="http://schemas.openxmlformats.org/officeDocument/2006/custom-properties" xmlns:vt="http://schemas.openxmlformats.org/officeDocument/2006/docPropsVTypes"/>
</file>