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godz. wykładu 18 godz., zapoznanie się ze wskazana literaturą 16 godz., przygotowanie do zaliczenia 23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godz. wykładu 18 godz., udział w egzaminie 2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podstawową wiedzę dotyczącą zasad działania oraz budowy wybranych podukładów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w:t>
      </w:r>
    </w:p>
    <w:p>
      <w:pPr/>
      <w:r>
        <w:rPr/>
        <w:t xml:space="preserve">Potrafi rozpoznać i scharakteryzować środek transportu zgodnie z poznaną klasyfikacją oraz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W08: </w:t>
      </w:r>
    </w:p>
    <w:p>
      <w:pPr/>
      <w:r>
        <w:rPr/>
        <w:t xml:space="preserve">Potrafi rozpoznać podstawowe zespoły (rozłożyć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dotyczących: technicznych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2026-10-21T13:49:03+02:00</dcterms:created>
  <dcterms:modified xsi:type="dcterms:W3CDTF">2026-10-21T13:49:03+02:00</dcterms:modified>
</cp:coreProperties>
</file>

<file path=docProps/custom.xml><?xml version="1.0" encoding="utf-8"?>
<Properties xmlns="http://schemas.openxmlformats.org/officeDocument/2006/custom-properties" xmlns:vt="http://schemas.openxmlformats.org/officeDocument/2006/docPropsVTypes"/>
</file>