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zapoznanie się ze wskazaną literaturą 10 godz., realizacja pracy projektowej poza godzinami zajęć dydaktycznych 31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projektowych 15 godz., zapoznanie się ze wskazaną literaturą 10 godz., realizacja pracy projektowej poza godzinami zajęć dydaktycznych 31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Wytyczne, normy, instrukcje i przepisy w zakresie drogownictwa oraz inżynierii ruchu. Projekt geometrii odcinka ulicy wraz ze skrzyżowaniem. Wykonanie projektu organizacji ruchu. Obliczenie przepustowości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
Ocena wykonanego projektu uwzględniająca następujące czynniki: systematyczność wykonywania projektu, jakość merytoryczną wykonania projektu, jakość edytorską wykonania projektu, ustna obronę projektów sprawdzającą posiadaną wiedzę.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Wytyczne projektowania dróg – GDDP, Warszawa, 1995 
2. Wytyczne projektowania ulic – GDDP, Warszawa 1992 
3. Wytyczne projektowania skrzyżowań drogowych – GDDP, Warszawa, 2001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 poz. 2311.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systematyczności wykonywania projektu, jakości merytorycznej wykonania projektu, jakości edytorskiej wykonania projektu, ustnej obrony projektów sprawdzającej posiadaną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