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systemów bezpieczeństwa</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A13_FSB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15 godz.,
obecność na wykładach-  15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bezpieczeństwa narodowego;
2. scharakteryzowanie organizacji i podstaw prawnych systemu bezpieczeństwa narodowego;
3. poznanie modelu systemu bezpieczeństwa narodowego;
4. określenie istoty działania organów władzy wykonawczej w systemie kierowania bezpieczeństwem narodowym;
5 wyrobienie umiejętności wykorzystania źródeł prawa do rozwiązywania problemów z zakresu realizacji zadań bezpieczeństwa narodowego przez organy administracji publicznej;
6. yrobienie umiejętności rozróżniania i wyjaśniania misji i funkcji organów administracji publicznej w realizacji funkcji bezpieczeństwa narodowego.
</w:t>
      </w:r>
    </w:p>
    <w:p>
      <w:pPr>
        <w:keepNext w:val="1"/>
        <w:spacing w:after="10"/>
      </w:pPr>
      <w:r>
        <w:rPr>
          <w:b/>
          <w:bCs/>
        </w:rPr>
        <w:t xml:space="preserve">Treści kształcenia: </w:t>
      </w:r>
    </w:p>
    <w:p>
      <w:pPr>
        <w:spacing w:before="20" w:after="190"/>
      </w:pPr>
      <w:r>
        <w:rPr/>
        <w:t xml:space="preserve">Wykład (zagadnienia):
Struktura systemu bezpieczeństwa narodowego
Uwarunkowania funkcjonowania systemu bezpieczeństwa narodowego
Organizacja i funkcjonowanie systemu bezpieczeństwa narodowego
Charakterystyka Sił Zbrojnych RP
Organizacja i funkcjonowanie podsystemu ochronnego (służby, straże i inspekcje)
Wsparcie Państw Członkowskich UE w zakresie bezpieczeństwa 
Ćwiczenia (zagadnienia):
Struktura Wojewódzkiego Planu ZK 
Stany wyjątkowe
Funkcje, zadania i kompetencje władzy wykonawczej szczebla centralnego w dziedzinie bezpieczeństwa narodowego: 1.Prezydent RP, 2.Rada Ministrów, 3.Wybrane organy centralne
Wybrane organy i agencje związane z bezpieczeństwem (ABW, AW, SW, SKW)
Znaczenie organizacji NATO w  bezpieczeństwie międzynarodowym
Strategia bezpieczeństwa narodowego RP
Podsystemy systemu bezpieczeństwa (kierowania, obrony, ochrony, społeczne, gospodarcze)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2026-05-07T21:13:51+02:00</dcterms:created>
  <dcterms:modified xsi:type="dcterms:W3CDTF">2026-05-07T21:13:51+02:00</dcterms:modified>
</cp:coreProperties>
</file>

<file path=docProps/custom.xml><?xml version="1.0" encoding="utf-8"?>
<Properties xmlns="http://schemas.openxmlformats.org/officeDocument/2006/custom-properties" xmlns:vt="http://schemas.openxmlformats.org/officeDocument/2006/docPropsVTypes"/>
</file>