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Techniki badawcze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Łucja Dybowska-Sarapuk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Wariantowe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TB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47h w tym:
a) wykład – 15h
b) ćwiczenia - 15h
c) laboratorium - 15h
d) konsultacje - 2h
2) Praca własna studenta 40h, w tym:
a) przygotowania do zadań laboratoryjnych i wykonania sprawozdań - 15h
b) studia literatury – 10h
c) przygotowanie do ćwiczeń i prezentacje - 15h
w sumie: 87 (3 ECTS)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Liczba godzin bezpośrednich 52h, w tym:
a) wykład – 15h
b) ćwiczenia - 15h
c) laboratorium - 15h
d) konsultacje - 7h
suma: 52h (2 ECTS)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1) Liczba godzin bezpośrednich 47h w tym:
a) wykład – 15h
b) ćwiczenia - 15h
c) laboratorium - 15h
d) konsultacje - 2h
2) Praca własna studenta 40h, w tym:
a) przygotowania do zadań laboratoryjnych i wykonania sprawozdań - 15h
b) studia literatury – 10h
c) przygotowanie do ćwiczeń i prezentacje - 15h
w sumie: 87 (3 ECTS)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Samodzielne prowadzenie pracy badawczej zarówno naukowej jak i przemysłowej, zgodnie ze współczesnymi wymaganiami środowiska naukowego i otoczenia społeczno-gospodarczego. Zakres przedmiotu obejmuje szeroki zbiór zagadnień od pozyskania finansowania na prace badawcze, przez organizację zespołu badawczego i zaplecza technicznego, planowanie i prowadzenie eksperymentu, po umiejętność prezentowania i publikowania wyników. Uczestnik zdobędzie umiejętności zidentyfikowania i formułowania problemu badawczego przez analizę informacji i syntezę wiedzy, pozna zasady przygotowywania wniosków o finansowanie projektu badawczego lub propozycji inwestorskiej na prace rozwojowe, a także zapozna się ze strukturą publikacji naukowych i z technikami zrozumiałego przekazywanie informacji.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Definiowanie problemu badawczego i waga odpowiedniej nomenklatury. Techniki stosowane do analizy problemów: metoda naukowa, metoda Feinmana, metoda sokratyczna. Poszukiwanie informacji w źródłach literaturowych (publikacje, patenty, doniesienia medialne), analiza informacji pod kątem wiarygodności i przydatności. Planowanie eksperymentu od strony merytorycznej, kompetencji zespołu, zasobów, harmonogramu i budżetu. Dokumentowanie i analiza wyników badań, wraz z dyskusją i wkładem w rozwój dziedziny naukowej. Upowszechnianie wyników badań: publikacje naukowe, prezentacje naukowe, plakaty konferencyjne, doniesienia medialne. Źródła finansowania prac badawczych w środowisku naukowym i przemysłowym. Przedstawienie struktury administracyjnej jednostek naukowych i badawczo-rozwojowych. Koncepcja open science. 
Projekt: Opracowanie koncepcji projektu badawczego na podstawie stanu wiedzy ze źródeł literaturowych i patentów. Prezentacja wyników analizy literaturowej, wyników badań, opracowanie wniosku o finansowanie badań naukowych i przemysłowych.
Laboratorium: Przygotowanie planu eksperymentu i realizacja dla wybranych procesów z zakresu technologii elektroniki, wytwarzania przyrostowego, technologii nanokompozytów. Zapoznanie ze stanowiskami badawczymi w jednostce naukowej, w jednostce badawczo-rozwojowej i w dziale badawczo-rozwojowym MSP.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wniosku o finansowanie badań (40%), ocena projektu (30%), ocena realizacji eksperymentów laboratoryjnych (30%)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www.nauka.gov.pl
Korzyński M., Metodyka eksperymentu, Wydawnictwa Naukowo-Techniczne 2013
R. Zieliński, Planowanie eksperymentu, PWN, 2001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TB_W01: </w:t>
      </w:r>
    </w:p>
    <w:p>
      <w:pPr/>
      <w:r>
        <w:rPr/>
        <w:t xml:space="preserve">Ma pogłębioną wiedzę z zakresu metod i narzędzi koniecznych do opracowania i przeprowadzenia eksperymentu badawczego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wniosku o finansowanie projektu badawczego.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K_W07, K_W09, K_W10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TB_U01: </w:t>
      </w:r>
    </w:p>
    <w:p>
      <w:pPr/>
      <w:r>
        <w:rPr/>
        <w:t xml:space="preserve">Potrafi zaplanować i przeprowadzić eksperymenty badawcze
Potrafi przeprowadzić analizę informacji literaturowej
Potrafi wyciągnąć wnioski z wyników badań i je zaprezentować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poprawności wykonania na podstawie przedstawionego planu badań i wyników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K_U08, K_U13, K_U14, K_U15, K_U17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TB_K01: </w:t>
      </w:r>
    </w:p>
    <w:p>
      <w:pPr/>
      <w:r>
        <w:rPr/>
        <w:t xml:space="preserve">Potrafi współpracować z zespołem badawczym podczas planowania i przeprowadzenia eksperymentu badawczego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przebiegu zajęć i jakości uzyskanych wyników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I.P7S_KK, I.P7S_KO, I.P7S_KR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2026-10-21T14:23:10+02:00</dcterms:created>
  <dcterms:modified xsi:type="dcterms:W3CDTF">2026-10-21T14:23:10+02:00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