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działania algorytmów szyfrowania oraz usługi ochrony informacji, które można zrealizować za ich pomocą</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zagrożenia dla bezpieczeństwa komputerów i sieci komputerowych oraz możliwe metody obrony</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wykorzystać narzędzia bezpieczeństwa w celu zlokalizowania podatności na atak</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zlokalizować w kodzie programu podatne na atal konstrukcje, poprawić je lub zastosować inne rozwiązanie niwelujące dane zagrożenie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realizować powierzone zadania związane analizą zagrożeń i ich niwelacją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U04: </w:t>
      </w:r>
    </w:p>
    <w:p>
      <w:pPr/>
      <w:r>
        <w:rPr/>
        <w:t xml:space="preserve">potrafi skonfigurować odpowiednie mechanizmy bezpieczeństwa bazując na dostarczonej dokumentacji w języku angielskim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ciągłego poznawania nowych metod ataku oraz sposobów przeciwdziałania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świadomy metod socjotechnicznych stanowiących zagrożenie dla bezpieczeństwa wrażliwych systemów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2026-07-28T10:02:47+02:00</dcterms:created>
  <dcterms:modified xsi:type="dcterms:W3CDTF">2026-07-28T10:02:47+02:00</dcterms:modified>
</cp:coreProperties>
</file>

<file path=docProps/custom.xml><?xml version="1.0" encoding="utf-8"?>
<Properties xmlns="http://schemas.openxmlformats.org/officeDocument/2006/custom-properties" xmlns:vt="http://schemas.openxmlformats.org/officeDocument/2006/docPropsVTypes"/>
</file>