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20h zajęcia ćwiczeniowe +4h konsultacji=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przedsiębior-stwach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proble-mowa „Ryzyko – Bezpieczeństwo – Ciągłość działania”. Mię-dzynarodowe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studen-tami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operacyj-nym w zapewnianiu ciągłości działania. Kraków-Warszawa: edu-Libri.
2.	Kaczmarek, T., Ćwiek, G., 2009. Ryzyko kryzysu a ciągłość działania. Warszawa: Difin.
Uzupełniająca:
1.	Kosieradzka, A., Zawiła-Niedźwiecki, J., red., 2016. Zaawan-sowana metodyka oceny ryzyka w publicznym zarządzaniu kry-zysowym.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działa-nia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seme-stru podczas zajęć. 
Ciąg ćwiczeń układa się w mini-projekt. Ćwiczenia są przekazywa-ne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Z2_U13: </w:t>
      </w:r>
    </w:p>
    <w:p>
      <w:pPr/>
      <w:r>
        <w:rPr/>
        <w:t xml:space="preserve">wykorzystywać posiadaną wiedzę w zakresie formuło-wania i rozwiązywania złożonych i nietypowych pro-blemów przez właściwy dobór źródeł oraz informacji z nich pochodzących, dokonywanie oceny, krytycznej analizy, syntezy oraz twórczej interpretacji i prezentacji tych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2026-01-13T12:45:21+01:00</dcterms:created>
  <dcterms:modified xsi:type="dcterms:W3CDTF">2026-01-13T12:45:21+01:00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