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Żuber Ryszard Prof,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ćwiczenia + 15h przygotowanie do ćwiczeń +10h przygotowanie do pracy kontrolnej + 5h konsultacje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
15h ćwiczenia + 15h przygotowanie do ćwiczeń +10h przygotowanie do pracy kontrolnej + 5h konsultacje + 15h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 nauki o organizacji i zarządzaniu; w tym produkcji, ochrony własności intelektualnej, umiejętność ob-sługi komputera, edytora tekstu, wykorzystania Internetu oraz standardowych programów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studenta i zrozumienie w po-głębionym stopniu teorii naukowych właściwych dla innowacji w inżynierii produkcji oraz kierunków ich rozwoju, a także zaawansowanej metodologii badań oraz głównych trendów rozwojowych w zakresie przedsiębiorczości i innowacyjności. 
Zdobycie umiejętności identyfikowania, interpretowania i wyjaśniania złożonych zjawiska i procesów społecznych oraz relacji między nimi z wykorzystaniem wiedzy z zakresu innowacyjności, analizo-wania, prognozowania i modelowania złożonych procesów społecznych z wykorzystaniem zaawansowanych metod i narzędzi z zakresu innowacyjności, w tym narzędzi IT.
Przygotowanie studenta, aby był gotów do uznawania znaczenia wiedzy w rozwiązywaniu problemów poznawczych i praktycznych oraz konieczności samokształcenia się przez całe życie, a także inicjowania działania na rzecz dobra społecznego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W1:Wyzwania strategiczne działalności innowacyjnej dla gospodarek Unii Europejskiej, rozwojowe Polski, regionalne strategie innowacyjne, aktywność innowacyjna przedsiębiorstw. 
W2;Pojęcie innowacji, gospodarka globalna, innowacyjna gospodarka, rodzaje innowacji, ich źródła i parametry, czynniki sprzyjające innowacyjności.
W3: Modele procesów innowacyjnych. Modele zarządzania innowacjami. Menadżer innowacji, jego cechy i rola. 
W4:Organizacja i współpraca zespołów w ramach działalności innowacyjnej.
W5: Metody poszukiwania innowacyjnych rozwiązań. 
W6:Ekonomiczne aspekty działalności innowacyjnej. 
W7:Źródła finansowania innowacji.
B.	Ćwiczenia: 
C1: Wprowadzenie teoretyczne. Przyjęcie założeń projektowych (przedsiębiorstwo międzynarodowe, innowacja globalna) .
C2: Charakterystyka rynku pierwotnego i analiza docelowego z wykorzystaniem metod analizy strategicznej.  
C3: Określenie barier innowacyjności
C4: Przyjęcie działań marketingowych uwzględniających specyfikę rynku, grupy docelowej i meritum innowacji po analizie rynku pierwotnego z wykorzystaniem adekwatnego rodzaju marketingu mix.
C5: Harmonogramowanie i analiza zasobów.
C6: Analiza ryzyka wraz z działaniami zapobiegawczymi.
C7: Uproszczona analiza ekonomiczna.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 na zajęciach.    
2. Ocena sumatywna : Przeprowadzenie egzaminu zawierającego pytania; ocena z egzaminu w zakresie 2-5;do zaliczenia wymagane jest uzyskanie oceny &gt;=3
B. Ćwiczenia: 
1. Ocena formatywna: Na zajęciach weryfikowana jest poprawność merytoryczna wykonania poszczególnych ćwiczeń składających się na końcowy projekt. Elementy projektu są dyskutowane i weryfikowane na każdym etapie jego wykonania.
2. Ocena sumatywna: Oceniana jest wartość merytoryczna i ich możliwości implementacyjne, terminowość, zaawansowanie, redakcja końcowa.
Maksymalna liczba punktów 18, w tym po 3 punkty za każde ćwiczenie 
Punktacja: 
18-17 – ocena 5
16-15 – ocena 4.5
14-13 – ocena 4
12-11 – ocena 3.5
10-9 – ocena 3.0
Do zaliczenia wymagane jest uzyskanie oceny &gt;=3.
E. Końcowa ocena z przedmiotu: Przedmiot uznaje się za zaliczony jeżeli ocena zarówno z wykładu jak i ćwiczeń jest &gt;=3.Ocena z przedmiotu jest obliczana zgodnie z  formułą: 0,5 *ocena z wykładu + 0,5 *ocena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Żuber,R.,red., 2016 Zarządzanie innowacjami w przedsiębiorstwie. Wybrane  aspekty. Warszawa: Difin.
2. Żuber, R., red., 2012 Innovation and Knowledge Management. Select Theoretical and Practical Issues.  Warszawa: Difin. 
3. Żuber, R., 2009 Technology transfer : selected concepts of solutions. Warszawa: Difin.
Uzupełniająca:
1. Boni, M.,2009 Polska 2030 Wyzwania rozwojowe. Warszawa: Kancelaria Prezesa Rady Ministrów.
2. Jasiński, A.H., 2006 Innowacje i transfer techniki w procesie transformacji. Warszawa: Difin.
3. Plan na rzecz Odpowiedzialnego Rozwoju. 2017 Warszawa: Ministerstwo Rozwoju.
4. Kasperkiewicz, W.,2016 Wyzwanie innowacyjne dla gospodarek Unii Europejskiej w świetle Strategii Europa 2020. Studia Prawno-Ekonomiczne. t.XCIX.
5.Kubielas, St.,2009 Innowacje i luka technologiczna w gospodarce globalnej opartej na wiedzy: strukturalne i makroekonomiczne uwarunkowania. Warszawa: Uniwersytet Warszawski. Wydział Nauk Ekonomicznych. 
6. Żuber, R.,2000 Doświadczenia transferu i wdrażania innowacji. Warszawa: Oficyna Wydawnicza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Z2_W10: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Z2_W14: </w:t>
      </w:r>
    </w:p>
    <w:p>
      <w:pPr/>
      <w:r>
        <w:rPr/>
        <w:t xml:space="preserve">Absolwent zna i rozumie w pogłębionym stopniu 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Z2_U05: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Z2_U10: </w:t>
      </w:r>
    </w:p>
    <w:p>
      <w:pPr/>
      <w:r>
        <w:rPr/>
        <w:t xml:space="preserve">Absolwent potrafi analizować, prognozować i modelować złożone procesy społeczne z wykorzystaniem zaawansowanych metod i narzędzi z zakresu innowacyjności,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Z2_K04: </w:t>
      </w:r>
    </w:p>
    <w:p>
      <w:pPr/>
      <w:r>
        <w:rPr/>
        <w:t xml:space="preserve">Absolwent 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2026-10-21T13:52:05+02:00</dcterms:created>
  <dcterms:modified xsi:type="dcterms:W3CDTF">2026-10-21T13:52:05+02:00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