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obecnością internetową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laboratorium + 20h praca indywidualna + 18h zapoznanie się z literaturą, przygotowanie się do zajęć +2h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
10h laboratorium + 2h konsultacje=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laboratorium + 20h praca indywidualna + 18h zapoznanie się z literaturą, przygotowanie się do zajęć +2h konsultacji=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i zagadnień dotyczących zarządzania obecnością internetową.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Koncepcje i modele związane z SEO, PPC, SEM
2. Wyniki wyszukiwania i pozycjonowanie w wyszukiwarce
3. Optymalizacja On-page i Off-page
4. Analityka. Definiowanie słów kluczowych. Pomiar skuteczności i KPI
5. Platformy social media. Reklama w sieciach społecznościowych
6. Efektywność video advertising
7. Marketing wirusowy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ocena udziału w pracy zbiorowej, jednostkowej i grupowej.
2. Ocena sumatywna: terminowość wykonania projektów, zaliczenie wszystkich projektów oraz wynik rozmowy zaliczeniowej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Sałbut B., 2010, Inbound Marketing. Daj się poznać w Google, serwisach społecznościowych i na blogu, Gliwice: Helion
2.	Afuah A., 2003, Biznes internetowy - strategie i modele, Warszawa: Oficyna Ekonomiczna
3.	Bailyn E., 2014, SEO dla każdego, Gliwice: Helion
Uzupełniająca:
1.	Jones C., Ryan D., 2013, Najlepsze kampanie marketingu cyfrowego, Warszawa: Wolters Kluwer 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Z1_W06: </w:t>
      </w:r>
    </w:p>
    <w:p>
      <w:pPr/>
      <w:r>
        <w:rPr/>
        <w:t xml:space="preserve">Student zna i rozumie teorie oraz ogólną metodologię badań w zakresie marketingu, ze szczególnym uwzględnieniem kreowania marki i zarządzania relacjami z klientem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Z1_W09: </w:t>
      </w:r>
    </w:p>
    <w:p>
      <w:pPr/>
      <w:r>
        <w:rPr/>
        <w:t xml:space="preserve">Student zna i rozumie teorie oraz ogólną metodologię badań w zakresie zastosowań narzędzi informatycznych w zarządzaniu, ze szczególnym uwzględnieniem działań
podejmowanych w środowisku internetowym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Z1_U04: </w:t>
      </w:r>
    </w:p>
    <w:p>
      <w:pPr/>
      <w:r>
        <w:rPr/>
        <w:t xml:space="preserve">Student potrafi identyfikować i interpretować podstawowe zjawiska i procesy społeczne z wykorzystaniem wiedzy z zakresu marketingu, ze szczególnym uwzględnieniem uwarunkowań kreowania marki i zarządzania relacjami z klientem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Z1_U12: </w:t>
      </w:r>
    </w:p>
    <w:p>
      <w:pPr/>
      <w:r>
        <w:rPr/>
        <w:t xml:space="preserve">Student potrafi analizować i prognozować procesy i zjawiska społeczne z wykorzystaniem standardowych metod i narzędzi wykorzystywanych w marketingu,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2026-10-01T01:00:52+02:00</dcterms:created>
  <dcterms:modified xsi:type="dcterms:W3CDTF">2026-10-01T01:00:52+02:00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