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Zagadnienia prawne i normalizacyjne w IT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Bolesław Szomański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Specjalność: Zarządzanie w gospodarce cyfrowej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 ECTS
10h ćwiczenia + 2h studia literatury + 5h przygotowanie do testu zaliczeniowego + 6h przygotowanie do ćwiczeń + 2h konsultacje = 25h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0,48 ECTS
10h ćwiczenia + 2h konsultacje = 12h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ECTS
10h ćwiczenia + 2h studia literatury + 5h przygotowanie do testu zaliczeniowego + 6h przygotowanie do ćwiczeń + 2h konsultacje = 25h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 - od 25 osób do limitu miejsc w sali laboratoryjnej (ćwiczenia) - od 25 osób do limitu miejsc w sali audytoryjnej (laboratorium)	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i praktyczne zastosowanie rozwiązań prawnych i normalizacyjnych w IT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B. Ćwiczenia: 
1. Ustawa o Ochronie Informacji niejawnej i zawiązane rozporządzenia
2. Rozporządzenie o Ochronie danych Osobowych (RODO) i Ustawa o Ochronie Danych Osobowych i normy związane
3. Ustawa o krajowym systemie Cyberbezpieczeństwa i normy związa-ne
4. Ustawa o infrastrukturze krytycznej i dyrektywa NIS oraz normy związane
5. Rozporządzenie o Krajowych Ramach Interoperacyjności … oraz normy powołane
6. Inne przepisy prawa związane z IT
7. Normy opracowane przez ISO/IEC JTC1 i jego podkomitety
8. Normy NIST
9. Standardy organizacji COBIT, COSO i ich umiejscowienie w przepi-sach prawa oraz zalecenia OWASP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B. Ćwiczenia: 
1. Ocena formatywna: Ocena jest uzyskiwana za wykonywane ćwiczenia, aktywność na zajęciach, znalezione w Internecie incydenty, nieobowiązkowe prace własne oraz test 
2. Ocena sumatywna: zalicza 51 punktów z czego z testu można uzyskać maksimum 50 pkt, z ćwiczeń 50 pkt dodatkowe punkty za pozostałe elementy szczegółowe zasady określa rozesłany studentom  regulamin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 
1.	Ustawa o Ochronie Informacji Niejawnej
2.	Rozporządzenie o Ochronie danych Osobowych
3.	Ustawa o krajowym systemie Cyberbezpieczeństwa
4.	Ustawa o infrastrukturze krytycznej 
5.	Rozporządzenie o Krajowych Ramach Interoperacyjności i ….
Uzupełniająca:
1.	ISO 27000 i inne tej rodziny związane z bezpieczeństwem informacji
2.	ISO 29100 i inne związane z ochroną prywatności
3.	ISO 22301 i inne związane z ciągłością działania i ochroną ludności
4.	ISO 20000-1 inne tej serii związane z zarządzaniem usługami
5.	ISO 40500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Z1_W08: </w:t>
      </w:r>
    </w:p>
    <w:p>
      <w:pPr/>
      <w:r>
        <w:rPr/>
        <w:t xml:space="preserve">Student zna i rozumie teorie oraz ogólną metodologię badań w zakresie przedsiębiorczości, ze szczególnym uwzględnieniem kreowania postaw przedsiębiorczych i podejmowania wyzwań związanych z rozwojem przedsiębiorczości.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Z1_W09: </w:t>
      </w:r>
    </w:p>
    <w:p>
      <w:pPr/>
      <w:r>
        <w:rPr/>
        <w:t xml:space="preserve">Student zna i rozumie teorie oraz ogólną metodologię badań w zakresie zastosowań narzędzi informatycznych w zarządzaniu, ze szczególnym uwzględnieniem działań podejmowanych w środowisku internetowym.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Z1_U14: </w:t>
      </w:r>
    </w:p>
    <w:p>
      <w:pPr/>
      <w:r>
        <w:rPr/>
        <w:t xml:space="preserve">Student potrafi planować i przeprowadzać eksperymenty, w tym pomiary i symulacje komputerowe, interpretować uzyskane wyniki i wyciągać wnioski.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sposób pracy podczas zajęć laboratoryjnych, zadanie laboratoryjne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Z1_U17: </w:t>
      </w:r>
    </w:p>
    <w:p>
      <w:pPr/>
      <w:r>
        <w:rPr/>
        <w:t xml:space="preserve">Student potrafi projektować nowe rozwiązania, jak również doskonalić istniejące, zgodnie z przyjętymi założeniami ich realizacji i wdrożenia.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sposób pracy podczas zajęć laboratoryjnych, zadanie laboratoryjne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Z1_K02: </w:t>
      </w:r>
    </w:p>
    <w:p>
      <w:pPr/>
      <w:r>
        <w:rPr/>
        <w:t xml:space="preserve">Student jest gotów do uznawania znaczenia wiedzy w rozwiązywaniu problemów poznawczych i praktycznych.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sposób pracy podczas zajęć ćwiczeniowych i laboratoryjnych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Z1_K04: </w:t>
      </w:r>
    </w:p>
    <w:p>
      <w:pPr/>
      <w:r>
        <w:rPr/>
        <w:t xml:space="preserve">Student jest gotów do myślenia i działania w sposób przedsiębiorczy.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sposób pracy podczas zajęć ćwiczeniowych i laboratoryjnych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2025-07-09T03:41:13+02:00</dcterms:created>
  <dcterms:modified xsi:type="dcterms:W3CDTF">2025-07-09T03:41:13+02:00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