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 </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praca zaliczeniowa i jej prezentacja.
2.	Ocena sumatywna: oceniane są: zaliczenie wszystkich ćwiczeń tematycznych i terminowość ich wykonania. Ocena łączna jako średnia oceny z realizacji ćwiczeń oraz oceny pracy zaliczeniowej i jej prezentacji. Do zaliczenia wymagane jest uzyskanie oceny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Z1_W07: </w:t>
      </w:r>
    </w:p>
    <w:p>
      <w:pPr/>
      <w:r>
        <w:rPr/>
        <w:t xml:space="preserve">teorie oraz ogólną metodologię badań w zakresie identyfikacji, tworzenia i optymalizacji procesów, ze szczególnym uwzględnieniem procesów zarządzania transferem wiedzy i technologii</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Z1_U06: </w:t>
      </w:r>
    </w:p>
    <w:p>
      <w:pPr/>
      <w:r>
        <w:rPr/>
        <w:t xml:space="preserve">identyfikować i interpretować podstawowe zjawiska i procesy społeczne z wykorzystaniem wiedzy z zakresu identyfikacji, tworzenia i optymalizacji procesów, ze szczególnym uwzględnieniem procesów zarządzania</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2026-10-01T23:21:04+02:00</dcterms:created>
  <dcterms:modified xsi:type="dcterms:W3CDTF">2026-10-01T23:21:04+02:00</dcterms:modified>
</cp:coreProperties>
</file>

<file path=docProps/custom.xml><?xml version="1.0" encoding="utf-8"?>
<Properties xmlns="http://schemas.openxmlformats.org/officeDocument/2006/custom-properties" xmlns:vt="http://schemas.openxmlformats.org/officeDocument/2006/docPropsVTypes"/>
</file>