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i multimedia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Krzysztof Bartczak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10h laboratorium + 25h praca indywidualna + 13h zapoznanie się z literaturą, przygotowanie się do zajęć +2h konsultacji=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0,48 ECTS
10h laboratorium +2h konsultacji= 12h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10h laboratorium + 25h praca indywidualna + 13h zapoznanie się z literaturą, przygotowanie się do zajęć +2h konsultacji=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zagadnień teoretycznych związanych z grafiką komputerową oraz multimediami a także z wybranymi programami służącymi do obróbki obrazu i dźwięku.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C. Laboratorium:
1. Podstawy dotyczące grafiki komputerowej i multimedialnej.
2. Grafika rastrowa i wektorowa. Percepcja świata zewnętrznego.
3. Standardy i tendencje rozwoju metod grafiki komputerowej.
4. Formaty plików graficznych. Przegląd oprogramowania do obróbki grafiki. 
5. Pliki dźwiękowe i wideo – formaty, kompresja, edycja.
6. Przygotowywanie prezentacji multimedialnych i interaktywnych.
7. Grafika w biznesie. Przygotowanie folderu reklamowego. Publikacja w Internecie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C. Laboratorium:
1. Ocena formatywna: ocena udziału w pracy zbiorowej, jednostkowej i grupowej.
2. Ocena sumatywna: terminowość wykonania projektów, zaliczenie wszystkich projektów oraz wynik rozmowy zaliczeniowej z prowadzącym.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Zimek R., Tomaszewska-Adamarek A., 2007, ABC grafiki komputerowej i obróbki zdjęć, Gliwice: Helion
2.	Jankowski M., 2006, Elementy grafiki komputerowej, Warszawa: WNT
3.	Benicewicz-Miazga A., 2012, Grafika w biznesie, Projektowanie elementów tożsamości wizualnej, Gliwice: Helion
Uzupełniająca:
1.	Shirley P., 2009, Fundamentals of Computer Graphics, Boca Raton: CRC 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Student zna i rozumie teorie oraz ogólną metodologię badań w zakresie zastosowań narzędzi informatycznych w zarządzaniu i produkcji, ze szczególnym uwzględnieniem
działań podejmowanych w środowisku intra i internetowym.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I1_W10: </w:t>
      </w:r>
    </w:p>
    <w:p>
      <w:pPr/>
      <w:r>
        <w:rPr/>
        <w:t xml:space="preserve">Student zna i rozumie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I1_U01: </w:t>
      </w:r>
    </w:p>
    <w:p>
      <w:pPr/>
      <w:r>
        <w:rPr/>
        <w:t xml:space="preserve">Student potrafi identyfikować i interpretować podstawowe zjawiska i procesy społeczne z wykorzystaniem wiedzy z zakresu zarządzania, ze szczególnym uwzględnieniem uwarunkowań zarządzania przedsiębiorstwem produkcyjnym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I1_U05: </w:t>
      </w:r>
    </w:p>
    <w:p>
      <w:pPr/>
      <w:r>
        <w:rPr/>
        <w:t xml:space="preserve">Student potrafi identyfikować i interpretować podstawowe zjawiska i procesy społeczne z wykorzystaniem wiedzy z zakresu przedsiębiorczości, ze szczególnym uwzględnieniem kreowania postaw przedsiębiorczych i podejmowania wyzwań związanych z rozwojem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I1_K04: </w:t>
      </w:r>
    </w:p>
    <w:p>
      <w:pPr/>
      <w:r>
        <w:rPr/>
        <w:t xml:space="preserve">Student jest gotów do 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i prezentacji, aktywność podczas zajęć, praca w grupach, analiza zespołowa poszczególnych projektów.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2026-09-30T11:29:16+02:00</dcterms:created>
  <dcterms:modified xsi:type="dcterms:W3CDTF">2026-09-30T11:29:16+02:00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