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komputerowa i multimedia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Krzysztof Bartczak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15h laboratorium + 25h praca indywidualna + 20h zapoznanie się z literaturą, przygotowanie się do zajęć +3h konsultacji=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0,72 ECTS
15h laboratorium +3h konsultacji= 18h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15h laboratorium + 25h praca indywidualna + 20h zapoznanie się z literaturą, przygotowanie się do zajęć +3h konsultacji=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podstawowych zagadnień teoretycznych związanych z grafiką komputerową oraz multimediami a także z wybranymi programami służącymi do obróbki obrazu i dźwięku.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C. Laboratorium:
1. Podstawy dotyczące grafiki komputerowej i multimedialnej.
2. Grafika rastrowa i wektorowa. Percepcja świata zewnętrznego.
3. Standardy i tendencje rozwoju metod grafiki komputerowej.
4. Formaty plików graficznych. Przegląd oprogramowania do obróbki grafiki. 
5. Pliki dźwiękowe i wideo – formaty, kompresja, edycja.
6. Przygotowywanie prezentacji multimedialnych i interaktywnych.
7. Grafika w biznesie. Przygotowanie folderu reklamowego. Publikacja w Internecie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C. Laboratorium:
1. Ocena formatywna: ocena udziału w pracy zbiorowej, jednostkowej i grupowej.
2. Ocena sumatywna: terminowość wykonania projektów, zaliczenie wszystkich projektów oraz wynik rozmowy zaliczeniowej z prowadzącym.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Zimek R., Tomaszewska-Adamarek A., 2007, ABC grafiki komputerowej i obróbki zdjęć, Gliwice: Helion
2.	Jankowski M., 2006, Elementy grafiki komputerowej, Warszawa: WNT
3.	Benicewicz-Miazga A., 2012, Grafika w biznesie, Projektowanie elementów tożsamości wizualnej, Gliwice: Helion
Uzupełniająca:
1.	Shirley P., 2009, Fundamentals of Computer Graphics, Boca Raton: CRC Press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Student zna i rozumie teorie oraz ogólną metodologię badań w zakresie zastosowań narzędzi informatycznych w zarządzaniu i produkcji, ze szczególnym uwzględnieniem
działań podejmowanych w środowisku intra i internetowym.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I1_W10: </w:t>
      </w:r>
    </w:p>
    <w:p>
      <w:pPr/>
      <w:r>
        <w:rPr/>
        <w:t xml:space="preserve">Student zna i rozumie charakter, miejsce i znaczenie nauk społecznych w ogólnym systemie nauk oraz ich relacje do nauk technicznych oraz kompetencji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Student potrafi identyfikować i interpretować podstawowe zjawiska i procesy społeczne z wykorzystaniem wiedzy z zakresu zarządzania, ze szczególnym uwzględnieniem uwarunkowań zarządzania przedsiębiorstwem produkcyjnym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I1_U05: </w:t>
      </w:r>
    </w:p>
    <w:p>
      <w:pPr/>
      <w:r>
        <w:rPr/>
        <w:t xml:space="preserve">Student potrafi identyfikować i interpretować podstawowe zjawiska i procesy społeczne z wykorzystaniem wiedzy z zakresu przedsiębiorczości, ze szczególnym uwzględnieniem kreowania postaw przedsiębiorczych i podejmowania wyzwań związanych z rozwojem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Student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prezentacji, aktywność podczas zajęć, praca w grupach, analiza zespołowa poszczególnych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I1_K04: </w:t>
      </w:r>
    </w:p>
    <w:p>
      <w:pPr/>
      <w:r>
        <w:rPr/>
        <w:t xml:space="preserve">Student jest gotów do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prezentacji, aktywność podczas zajęć, praca w grupach, analiza zespołowa poszczególnych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2026-10-01T17:04:40+02:00</dcterms:created>
  <dcterms:modified xsi:type="dcterms:W3CDTF">2026-10-01T17:04:40+02:00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