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MEDYCZNYCH DYNAMICZNYCH DANYCH OBRAZOWYCH  </w:t>
      </w:r>
    </w:p>
    <w:p>
      <w:pPr>
        <w:keepNext w:val="1"/>
        <w:spacing w:after="10"/>
      </w:pPr>
      <w:r>
        <w:rPr>
          <w:b/>
          <w:bCs/>
        </w:rPr>
        <w:t xml:space="preserve">Koordynator przedmiotu: </w:t>
      </w:r>
    </w:p>
    <w:p>
      <w:pPr>
        <w:spacing w:before="20" w:after="190"/>
      </w:pPr>
      <w:r>
        <w:rPr/>
        <w:t xml:space="preserve">dr hab. inż. Piotr Bogorodzki,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(Informatyka biomedyczna) – obowiązkowe</w:t>
      </w:r>
    </w:p>
    <w:p>
      <w:pPr>
        <w:keepNext w:val="1"/>
        <w:spacing w:after="10"/>
      </w:pPr>
      <w:r>
        <w:rPr>
          <w:b/>
          <w:bCs/>
        </w:rPr>
        <w:t xml:space="preserve">Kod przedmiotu: </w:t>
      </w:r>
    </w:p>
    <w:p>
      <w:pPr>
        <w:spacing w:before="20" w:after="190"/>
      </w:pPr>
      <w:r>
        <w:rPr/>
        <w:t xml:space="preserve">AMDD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47 godz., w tym 
obecność na wykładach 30 godz., 
udział w projektach  15 godz., 
obecność na egzaminie 2 godz. 
praca własna studenta – 43  godz., w tym 
przygotowanie do projektu 13 godz., 
przygotowanie do egzaminu 30 godz. 
Łączny nakład pracy studenta wynosi 90 godz., co odpowiada 3 pkt. ECTS. 
Liczba punktów ECTS na zajęciach wymagających bezpośredniego udziału nauczycieli akademickich: 1,57 pkt. ECTS, co odpowiada 47 godz. kontaktowym.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1,57 pkt. ECTS, co odpowiada 47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0,93 pkt. ECTS w tym 15 godz. zajęć projektowych plus 13 godz. przygotowania do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analizy danych tomograficznych służących charakteryzowaniu stanu czynnościowego narządów czy tkanek organizmów żywych. Przedmiot skupia się głownie na pomiarach perfuzji (ukrwienia) tkankowego oraz efekcie BOLD (blood oxygenation level dependent).  </w:t>
      </w:r>
    </w:p>
    <w:p>
      <w:pPr>
        <w:keepNext w:val="1"/>
        <w:spacing w:after="10"/>
      </w:pPr>
      <w:r>
        <w:rPr>
          <w:b/>
          <w:bCs/>
        </w:rPr>
        <w:t xml:space="preserve">Treści kształcenia: </w:t>
      </w:r>
    </w:p>
    <w:p>
      <w:pPr>
        <w:spacing w:before="20" w:after="190"/>
      </w:pPr>
      <w:r>
        <w:rPr/>
        <w:t xml:space="preserve">Definicja czterowymiarowej struktury danych obrazowych jako wielowymiarowej macierzy, jej reprezentacja cyfrowa, analityczny opis danych dynamicznych, formaty zapisu stosowane w przetwarzaniu i analizie;  
Analiza i charakteryzowanie przepływu w modelu kompartmentowym, teoria rozcieńczania znacznika, modelowanie układów równań różniczkowych w programie SIMULINK;  
Wprowadzenie do technik tomograficznych, przegląd protokołów skanowania, obszary zastosowań. Podstawy fizyczne wybranych technik tomograficznych oraz charakterystyka środków cieniujących używanych w dynamicznych protokołach skanowania; Podstawowe pojęcia związane z akwizycją danych dynamicznych.  
 Wyznaczanie perfuzji narządowej z wykorzystaniem danych tomograficznych;  
Model fizjologiczny efektu BOLD, układ równań modelu ‘baloon’ zastosowanie wprost do detekcji zmian w mózgu, zastosowanie odwrotne w celu wyznaczania parametrów fizjologicznych. 
Wizualizacja danych.  
Metody oceny jakości obrazów tomograficznych.  </w:t>
      </w:r>
    </w:p>
    <w:p>
      <w:pPr>
        <w:keepNext w:val="1"/>
        <w:spacing w:after="10"/>
      </w:pPr>
      <w:r>
        <w:rPr>
          <w:b/>
          <w:bCs/>
        </w:rPr>
        <w:t xml:space="preserve">Metody oceny: </w:t>
      </w:r>
    </w:p>
    <w:p>
      <w:pPr>
        <w:spacing w:before="20" w:after="190"/>
      </w:pPr>
      <w:r>
        <w:rPr/>
        <w:t xml:space="preserve">średnia ważona z oceny egzaminacyjnej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Smolik, Materiały do wykładu, https:\\studia.elka.pw.edu.pl 
P.Bogorodzki, Zastosowanie metod tomograficznych do badania dynamiki procesów fizjologicznych, Prace Naukowe Politechniki Warszawskiej. Elektronika, 2011  
Buxton, Introduction to Functional Magnetic Resonance Imaging,  
A. C. Kak, M. Slaney, "Principles of Computerized Tomographic Imaging", IEEE Press, IEEE Inc., 1988 (electronic copy (c) A. C. Kak, M. Slaney) 
Cierniak R. X-Ray Computed Tomography in Biomedical Engineering: Springer-Verlag; 2011. 
G.T. Herman (editor), "Image reconstruction from projections, implementation and applications", Springer-Verlag, 1979 
Herman G., Kuba A. (eds.) Advances in discrete tomography and its applications, Birkhauser, 2007, ISBN 0817636145 
F. Natterrer, "The mathematics of computerized tomography", John Wiley &amp; Sons Ltd, 1986 
Z.H. Cho, J.P. Jones, M. Singh, "Foundation of Medical Imaging", John Wiley &amp; Sons Inc, 1993 
C.N. Chen, D.I. Hoult, "Biomedical Magnetic Resonance Technology", IOP Publishing Ltd, 1989 
G. L. Zeng, Medical Image Reconstruction. A Conceptual Tutorial, Springer, 2010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 </w:t>
      </w:r>
    </w:p>
    <w:p>
      <w:pPr/>
      <w:r>
        <w:rPr/>
        <w:t xml:space="preserve">zna pojęcia i zagadnienia występujące w tomografii komputerowej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III.P7S_WG, III.P7S_WK, P7U_W, I.P7S_WG.o, I.P7S_WK</w:t>
      </w:r>
    </w:p>
    <w:p>
      <w:pPr>
        <w:keepNext w:val="1"/>
        <w:spacing w:after="10"/>
      </w:pPr>
      <w:r>
        <w:rPr>
          <w:b/>
          <w:bCs/>
        </w:rPr>
        <w:t xml:space="preserve">Charakterystyka POB_W02 : </w:t>
      </w:r>
    </w:p>
    <w:p>
      <w:pPr/>
      <w:r>
        <w:rPr/>
        <w:t xml:space="preserve">zna i rozumie główne tendencje rozwojowe algorytmów rekonstrukcji obrazów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 </w:t>
      </w:r>
    </w:p>
    <w:p>
      <w:pPr/>
      <w:r>
        <w:rPr/>
        <w:t xml:space="preserve">w pogłębionym stopniu zna zagadnienie problemu odwrotnego i wybrane metody i algorytmy optymalizacji </w:t>
      </w:r>
    </w:p>
    <w:p>
      <w:pPr>
        <w:spacing w:before="60"/>
      </w:pPr>
      <w:r>
        <w:rPr/>
        <w:t xml:space="preserve">Weryfikacja: </w:t>
      </w:r>
    </w:p>
    <w:p>
      <w:pPr>
        <w:spacing w:before="20" w:after="190"/>
      </w:pPr>
      <w:r>
        <w:rPr/>
        <w:t xml:space="preserve">wykład  
laboratorium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POB_W04 : </w:t>
      </w:r>
    </w:p>
    <w:p>
      <w:pPr/>
      <w:r>
        <w:rPr/>
        <w:t xml:space="preserve">zna i rozumie prawne i społeczne uwarunkowania działalności zawodowej związanej z projektowaniem systemów obrazujących </w:t>
      </w:r>
    </w:p>
    <w:p>
      <w:pPr>
        <w:spacing w:before="60"/>
      </w:pPr>
      <w:r>
        <w:rPr/>
        <w:t xml:space="preserve">Weryfikacja: </w:t>
      </w:r>
    </w:p>
    <w:p>
      <w:pPr>
        <w:spacing w:before="20" w:after="190"/>
      </w:pPr>
      <w:r>
        <w:rPr/>
        <w:t xml:space="preserve">wykład </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POB_W05: </w:t>
      </w:r>
    </w:p>
    <w:p>
      <w:pPr/>
      <w:r>
        <w:rPr/>
        <w:t xml:space="preserve">ma wiedzę ogólną z zakresu podstaw fizycznych, zasady działania i budowy urządzeń tomograficznych </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2026-08-20T00:45:12+02:00</dcterms:created>
  <dcterms:modified xsi:type="dcterms:W3CDTF">2026-08-20T00:45:12+02:00</dcterms:modified>
</cp:coreProperties>
</file>

<file path=docProps/custom.xml><?xml version="1.0" encoding="utf-8"?>
<Properties xmlns="http://schemas.openxmlformats.org/officeDocument/2006/custom-properties" xmlns:vt="http://schemas.openxmlformats.org/officeDocument/2006/docPropsVTypes"/>
</file>