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miało formę pisemnego sprawdzianu składającego się z części testowej (10 pytań w postaci testu jednokrotnego wyboru) oraz części opisowej (2 pytania otwarte wymagające syntetycznej odpowiedzi). Za poprawną odpowiedź na pytanie z testu jednokrotnego wyboru można uzyskać 1 pkt, zaś za poprawną odpowiedź na pytanie otwarte: 1—5 pkt. Maksymalny wynik punktowy wynosi 20 pkt. Ogólna punktacja: 0—10 pkt — ocena niedostateczna (2,0), 11—12 pkt — ocena dostateczna (3,0), 13—14 pkt — ocena dostateczna plus (3,5), 15—16 pkt — ocena dobra (4,0), 17—18 pkt — ocena dobra plus (4,5), 19—20 pkt — ocena bardzo dobra (5,0). Podczas egzaminu nie można korzystać z pomocy dydaktycznych i elektronicznych nośników informacji.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(lub nowsze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międzynarodowych systemów ochrony praw człowieka. Zna znaczenie systemu ONZ i Powszechnej Deklaracji Praw Człowieka. Zna system ochrony oparty na Europejskiej Konwencji Praw Podstawowych oraz wie, w jakim zakresie i w jaki sposób można poszukiwać ochrony przed Europejskim Trybunałem Praw Człowieka. Rozumie znaczenie Unii Europejskiej i Karty Praw Podstawowych UE w zakresie ochrony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I.P6S_WK, II.S.P6S_WG.1, II.S.P6S_WG.2, II.S.P6S_WG.3, II.H.P6S_WG/K.o, I.P6S_WG, II.H.P6S_WG.1.o</w:t>
      </w:r>
    </w:p>
    <w:p>
      <w:pPr>
        <w:keepNext w:val="1"/>
        <w:spacing w:after="10"/>
      </w:pPr>
      <w:r>
        <w:rPr>
          <w:b/>
          <w:bCs/>
        </w:rPr>
        <w:t xml:space="preserve">Charakterystyka W_2: </w:t>
      </w:r>
    </w:p>
    <w:p>
      <w:pPr/>
      <w:r>
        <w:rPr/>
        <w:t xml:space="preserve">Po zakończeniu zajęć student zna podstawowe mechanizmy poszukiwania ochrony praw człowieka w krajowym (polskim) systemie ochrony. Zna treść gwarancji składających się na prawo do sądu oraz rozumie znaczenie sądów w zakresie ochrony praw człowieka. Zna zakres i zasady poszukiwania ochrony przed Trybunałem Konstytucyjnym, w szczególności podstawowe zasady dotyczące konstruowania skarg konstytucyjnych. Student ma również podstawową wiedzę na temat innych krajowych organów ochrony praw człowieka, w szczególności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dopuszczalny i adekwatnych do danej sytuacji środek ochrony praw człowieka, spełniający warunki dostępności skargi lub wniosku.</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K_U02, 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praw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Student powinien wykazać się zdolnością samodzielnego formułowania uargumentowanego stanowiska na temat wagi i znaczenia gwarancji instytucjonalnych i proceduralnych w zakresie ochrony praw człowieka.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2026-02-07T04:41:28+01:00</dcterms:created>
  <dcterms:modified xsi:type="dcterms:W3CDTF">2026-02-07T04:41:28+01:00</dcterms:modified>
</cp:coreProperties>
</file>

<file path=docProps/custom.xml><?xml version="1.0" encoding="utf-8"?>
<Properties xmlns="http://schemas.openxmlformats.org/officeDocument/2006/custom-properties" xmlns:vt="http://schemas.openxmlformats.org/officeDocument/2006/docPropsVTypes"/>
</file>