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oddziaływaniu promieniowania jonizującego z materią; aparaturze diagnostycznej wykorzystującej promieniowanie jonizujące; wielkościach i jednostkach dozymetrycznych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
Zasady ochrony radiologicznej.
Zakres zajęć projektowych obejmuje: 
Praktyczne obliczanie osłon przed promieniowaniem jonizującym. Opracowanie dokumentacji projektowej pracowni rentgenowskiej i izotopowej.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dn. 29 listopada 2000 r. - Prawo atomowe (Dz. U. z 2019 r. poz. 1792 oraz z 2020 r. poz. 284, 322) wraz z obowiązującymi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PPRI_W01: </w:t>
      </w:r>
    </w:p>
    <w:p>
      <w:pPr/>
      <w:r>
        <w:rPr/>
        <w:t xml:space="preserve">Zna cele i podstawowe zasady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PPRI_U01: </w:t>
      </w:r>
    </w:p>
    <w:p>
      <w:pPr/>
      <w:r>
        <w:rPr/>
        <w:t xml:space="preserve">Potrafi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2026-09-30T13:17:11+02:00</dcterms:created>
  <dcterms:modified xsi:type="dcterms:W3CDTF">2026-09-30T13:17:11+02:00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