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hab. inż. Piotr Bogorodzki,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AMDD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udział w projektach  15 godz.,
obecność na egzaminie 2 godz.
2.	praca własna studenta – 43  godz., w tym
przygotowanie do projektu 13 godz.,
przygotowanie do egzaminu 30 godz.
Łączny nakład pracy studenta wynosi 90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1,57 pkt. ECTS, co odpowiada 47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0,93 pkt. ECTS w tym 15 godz. zajęć projektowych plus 13 godz. przygotowania do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analizy danych tomograficznych służących charakteryzowaniu stanu czynnościowego narządów czy tkanek organizmów żywych. Przedmiot skupia się głownie na pomiarach perfuzji (ukrwienia) tkankowego oraz efekcie BOLD (blood oxygenation level dependent). </w:t>
      </w:r>
    </w:p>
    <w:p>
      <w:pPr>
        <w:keepNext w:val="1"/>
        <w:spacing w:after="10"/>
      </w:pPr>
      <w:r>
        <w:rPr>
          <w:b/>
          <w:bCs/>
        </w:rPr>
        <w:t xml:space="preserve">Treści kształcenia: </w:t>
      </w:r>
    </w:p>
    <w:p>
      <w:pPr>
        <w:spacing w:before="20" w:after="190"/>
      </w:pPr>
      <w:r>
        <w:rPr/>
        <w:t xml:space="preserve">Celem przedmiotu jest zapoznanie studentów z metodami analizy i przetwarzania tomograficznych danych 4D (przestrzeń+czas) w celu wyznaczania wielkości charakteryzujących stan czynnościowy narządów czy tkanek organizmów żywych. Przedmiot skupia się głownie na pomiarach perfuzji (ukrwienia) tkankowego oraz efekcie BOLD (blood oxygenation level dependent). W ramach wykładu słuchacze zapoznają się z podstawowymi definicjami związanymi z cyfrową reprezentacją 4D struktur danych oraz formatami ich zapisu w systemach komputerowych. Wielokompartmentowa teoria rozcieńczania znacznika (WTRZ) oraz jej implementacja w programie SIMULINK przestawione zostaną w dalszej części wykładu. Następnie przedstawiony zostanie model fizjologiczny sygnału BOLD i jego zastosowanie do detekcji zmian czynnościowych w mózgu, jak i zastosowanie odwrotne służące do wyznaczania parametrów fizjologicznych. Dodatkowo, studenci poznają podstawy fizyczne technik tomograficznych CT (Computed Tomography) oraz MRI (Magnetic Resonance Imaging) oraz specyfikę związaną z otrzymywaniem i przetwarzaniem danych dynamicznych pochodzących z tych urządzeń. W ramach projektu uczestnicy nabywają umiejętności analizy i wizualizacji danych 4D. </w:t>
      </w:r>
    </w:p>
    <w:p>
      <w:pPr>
        <w:keepNext w:val="1"/>
        <w:spacing w:after="10"/>
      </w:pPr>
      <w:r>
        <w:rPr>
          <w:b/>
          <w:bCs/>
        </w:rPr>
        <w:t xml:space="preserve">Metody oceny: </w:t>
      </w:r>
    </w:p>
    <w:p>
      <w:pPr>
        <w:spacing w:before="20" w:after="190"/>
      </w:pPr>
      <w:r>
        <w:rPr/>
        <w:t xml:space="preserve">Kolokwia zaliczające, 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W. Smolik, Materiały do wykładu, https:\\studia.elka.pw.edu.pl
2.	P.Bogorodzki, Zastosowanie metod tomograficznych do badania dynamiki procesów fizjologicznych, Prace Naukowe Politechniki Warszawskiej. Elektronika, 2011 
3.	Buxton, Introduction to Functional Magnetic Resonance Imaging, 
4.	A. C. Kak, M. Slaney, "Principles of Computerized Tomographic Imaging", IEEE Press, IEEE Inc., 1988 (electronic copy (c) A. C. Kak, M. Slaney)
5.	Cierniak R. X-Ray Computed Tomography in Biomedical Engineering: Springer-Verlag; 2011.
6.	G.T. Herman (editor), "Image reconstruction from projections, implementation and applications", Springer-Verlag, 1979
7.	Herman G., Kuba A. (eds.) Advances in discrete tomography and its applications, Birkhauser, 2007, ISBN 0817636145
8.	F. Natterrer, "The mathematics of computerized tomography", John Wiley &amp; Sons Ltd, 1986
9.	Z.H. Cho, J.P. Jones, M. Singh, "Foundation of Medical Imaging", John Wiley &amp; Sons Inc, 1993
10.	C.N. Chen, D.I. Hoult, "Biomedical Magnetic Resonance Technology", IOP Publishing Ltd, 1989
11.	G. L. Zeng, Medical Image Reconstruction. A Conceptual Tutorial, Springer, 2010
12.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2026-05-29T20:01:34+02:00</dcterms:created>
  <dcterms:modified xsi:type="dcterms:W3CDTF">2026-05-29T20:01:34+02:00</dcterms:modified>
</cp:coreProperties>
</file>

<file path=docProps/custom.xml><?xml version="1.0" encoding="utf-8"?>
<Properties xmlns="http://schemas.openxmlformats.org/officeDocument/2006/custom-properties" xmlns:vt="http://schemas.openxmlformats.org/officeDocument/2006/docPropsVTypes"/>
</file>