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50, w tym:
a) wykład - 30 godz. ;
b) laboratorium - 15 godz. ;
c) konsultacje - 5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układów elektronicznych, elektrotechniki, metod pomiaru wielkości elektrycznych i nieelektrycznych, urządzeń elektromedycznych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Urządzenia intensywnego nadzoru. Systemy nadzoru szpitalnego ogólnego i systemy specjalistyczne. Układy i systemy do gazometrii.
Rozwiązania spektrometrów impedancyjnych i stymulatorów. 
Odbiornik cyfrowy RF, układy DDS i DDC. Tor sygnałowy stetoskopu elektronicznego, przepływomierza ultradźwiękowego z emisją ciągłą i przepływomierza ultradźwiękowego z emisją impulsową, ultrasonografu, aparatu słuchowego i/lub implantu ślimakowego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kolokwium;
Zaliczenie laboratorium na podstawie sprawdzianów 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Jensen J.A. Estimation of Blood Velocities using Ultrasound - a Signal Processing Approach, Cambridge University Press, 1996
Northrop R. Analysis and Application of Analog Electronic Circuits to Biomedical Instrumentation CRC, 2004.
Webster J. G. Medical instrumentation -application and design. wyd.4, John Wiley and Sons.Inc. New York 2010,
Hilczer, B., Małecki, J., Elektrety i piezopolimery, PWN, 1992.
Rydzewski, J., Pomiary oscyloskopowe, WNT, 1994.
Loizou P.C. Mimicking the human ear: An overview of signal processing techniques for converting sound to electrical signals in cochlear implants. IEEE Sig. Proc. Magazine 1998; 15(5):101-130
Loizou P.C. Speech processing in vocoder-centric cochlear implants, Adv Otorhinolaryngol. Basel, Karger, 2006, vol 64, 109–143
Joseph P. Roche, M.D. , Marlan R. Hansen,  On the Horizon: Cochlear implant technology, Otolaryngol Clin North Am. 2015 December ; 48(6): 1097–1116. 
Thomas L. Szabo, Diagnostic Ultrasound Imaging: Inside Out (Second Edition), 2014, Academic Press
B. G. Tomov, S. I. Nikolov i J. A. Jensen, „Scalable Intersample Interpolation Architecture for 141 High-channel-count Beamformers,” w Proceedings of IEEE International Ultrasonics Symposium, Orlando, 2011.
S. Leng, R. S. Tan, K. T. C. Chai, C. Wang, D. Ghista, i L. Zhong, „The electronic stethoscope”, BioMedical Engineering OnLine, t. 14, nr 1, art. n. 66, 2015, doi: 10.1186/s12938-015-0056-y.
L. Bassi;E. Boni;A. Dallai;F. Guidi;S. Ricci;P. Tortoli  8A-2 ULA-OP: A Novel ULtrasound Advanced Open Platform for Experimental Research 2007 IEEE Ultrasonics Symposium Proceedings
E. Boni;L. Bassi;A. Dallai;G. Giannini;F. Guidi;V. Meacci;R. Matera;A. Ramalli;S. Ricci;M. Scaringella;J. Viti;P. Tortoli, ULA-OP 256: A portable high-performance research scanner, 2015 IEEE International Ultrasonics Symposium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pStyle w:val="Heading3"/>
      </w:pPr>
      <w:bookmarkStart w:id="3" w:name="_Toc3"/>
      <w:r>
        <w:t>Profil ogólnoakademicki - umiejętności</w:t>
      </w:r>
      <w:bookmarkEnd w:id="3"/>
    </w:p>
    <w:p>
      <w:pPr>
        <w:keepNext w:val="1"/>
        <w:spacing w:after="10"/>
      </w:pPr>
      <w:r>
        <w:rPr>
          <w:b/>
          <w:bCs/>
        </w:rPr>
        <w:t xml:space="preserve">Charakterystyka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UiSE_2st_K01: </w:t>
      </w:r>
    </w:p>
    <w:p>
      <w:pPr/>
      <w:r>
        <w:rPr/>
        <w:t xml:space="preserve">Jest świadomy znaczenia wiedzy w rozwiązywaniu problemów</w:t>
      </w:r>
    </w:p>
    <w:p>
      <w:pPr>
        <w:spacing w:before="60"/>
      </w:pPr>
      <w:r>
        <w:rPr/>
        <w:t xml:space="preserve">Weryfikacja: </w:t>
      </w:r>
    </w:p>
    <w:p>
      <w:pPr>
        <w:spacing w:before="20" w:after="190"/>
      </w:pPr>
      <w:r>
        <w:rPr/>
        <w:t xml:space="preserve">Ocena pracy podczas ćwiczeń, ocena aktywności w dyskusji na wynikami laboratorium</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2026-09-30T22:57:05+02:00</dcterms:created>
  <dcterms:modified xsi:type="dcterms:W3CDTF">2026-09-30T22:57:05+02:00</dcterms:modified>
</cp:coreProperties>
</file>

<file path=docProps/custom.xml><?xml version="1.0" encoding="utf-8"?>
<Properties xmlns="http://schemas.openxmlformats.org/officeDocument/2006/custom-properties" xmlns:vt="http://schemas.openxmlformats.org/officeDocument/2006/docPropsVTypes"/>
</file>