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tego kursu uczestnicy zapoznają się z podstawami geologii gospodarczej, podstawami prawnymi działalności geologicznej i górniczej w Polsce, zasadami dostępu do informacji geologicznej, zagadnieniami działalności geologicznej i górniczej w świetle innych ustaw o ochronie środowiska i gospodarce przestrzennej oraz problemy zagospodarowania przestrzennego w świetle ochrony złóż i działalności górniczej. Podczas ćwiczeń uczestnicy oszacują granice i zasoby złóż węgla brunatnego oraz przygotują studium planistyczne dla ochrony lub eksploatacji złoża węgla brunatnego.</w:t>
      </w:r>
    </w:p>
    <w:p>
      <w:pPr>
        <w:keepNext w:val="1"/>
        <w:spacing w:after="10"/>
      </w:pPr>
      <w:r>
        <w:rPr>
          <w:b/>
          <w:bCs/>
        </w:rPr>
        <w:t xml:space="preserve">Treści kształcenia: </w:t>
      </w:r>
    </w:p>
    <w:p>
      <w:pPr>
        <w:spacing w:before="20" w:after="190"/>
      </w:pPr>
      <w:r>
        <w:rPr/>
        <w:t xml:space="preserve">WYKŁADY: Surowce naturalne, minerały, minerały, skały i minerały; statyczna i dynamiczna teoria surowców mineralnych; podstawowe pojęcia stosowane w prawie geologicznym i górniczym, własność złóż kopalin w Polsce, koncesje; informacja geologiczna, służba geologiczna w Polsce, Państwowy Instytut Geologiczny, organy nadzoru górniczego; inne czynności związane z eksploatacją złóż; wpływ geologii i górnictwa na planowanie przestrzenne; wody podziemne i gospodarka przestrzenna.
ĆWICZENIA: oszacowanie granic i zasobów złoża węgla brunatnego na podstawie sieci odwiertów; przygotowanie elementów oceny oddziaływania na środowisko wydobycia węgla brunatnego.</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2026-06-16T22:54:29+02:00</dcterms:created>
  <dcterms:modified xsi:type="dcterms:W3CDTF">2026-06-16T22:54:29+02:00</dcterms:modified>
</cp:coreProperties>
</file>

<file path=docProps/custom.xml><?xml version="1.0" encoding="utf-8"?>
<Properties xmlns="http://schemas.openxmlformats.org/officeDocument/2006/custom-properties" xmlns:vt="http://schemas.openxmlformats.org/officeDocument/2006/docPropsVTypes"/>
</file>