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udział w wykładach: 15 x 1 godz. = 15 godz.
b) udział w zajęciach projektowych: 15 x 2 godz. = 30 godz.
c) udział w konsultacjach związanych z realizacją projektu: 5 x 1 godz. = 5 godz. (zakładamy, że student korzysta z co trzecich konsultacji), 
2. Praca własna studenta - 40 godzin, w tym:
a) przygotowanie do zajęć projektowych: 7 godz., 
b) dokończenie (w domu) sprawozdań z zajęć projektowych: 7 godz.
c) realizacja zadań projektowych: 24 godz. 
d) przygotowanie do zaliczenia: 2 godz.
Łączny nakład pracy studenta wynosi 90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liczba godzin kontaktowych - 50, w tym:
a) udział w wykładach: 15 x 1 godz. = 15 godz.
b) udział w zajęciach projektowych: 15 x 2 godz. = 30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a) udział w zajęciach projektowych: 15 x 2 godz. = 30 godz., 
b) przygotowanie do zajęć projektowych: 7 godz., 
c) udział w konsultacjach związanych z realizacją projektu: 5 x 1 godz. = 5 godz. (zakładamy, że student korzysta z co trzecich konsultacji), 
d) realizacja zadań projektowych: 24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
Program ćwiczeń obejmuje spotkanie z ekspertem, podczas którego zaprezentowany proces rekultywacji i zagospodarowania obszaru zdegradowanego. W trakcie wystąpienia przedstawione zostaną problemy związane z rewitalizacją obszarów poprzemysłowych w miastach.
W ramach zajęć wykorzystuje się formę kształcenia zdalnego e - learning (platforma MS Teams). </w:t>
      </w:r>
    </w:p>
    <w:p>
      <w:pPr>
        <w:keepNext w:val="1"/>
        <w:spacing w:after="10"/>
      </w:pPr>
      <w:r>
        <w:rPr>
          <w:b/>
          <w:bCs/>
        </w:rPr>
        <w:t xml:space="preserve">Metody oceny: </w:t>
      </w:r>
    </w:p>
    <w:p>
      <w:pPr>
        <w:spacing w:before="20" w:after="190"/>
      </w:pPr>
      <w:r>
        <w:rPr/>
        <w:t xml:space="preserve">Pisemne zaliczenie wykładów (kolokwium). Wykonanie dwóch projektów w ramach ćwiczeń. Ocena końcowa jest średnią arytmetyczną ocen z zaliczenia wykładów i ćwiczeń projektowych. Oceny wystawiane są według zasady: 5,0 - pięć (4,75 – 5,0), 4,5 - cztery i pół (4,25 - 4,74), 4,0 - cztery (3,75 - 4,24), 3,5 - trzy i pół (3,25 - 3,74), 3,0 - trzy (3,0 - 3,24).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10.   MACIEJEWSKA, A., TUREK, A. (2019). Rewitalizacja terenów poprzemysłowych. Warszawa: PWN.
LITERATURA DODATKOWA:
11.	LORENS, P.(2007). Rewitalizacja miast w Polsce. Pierwsze doświadczenia. Warszawa: Urbanista;
12.	LORENS, P. (2010). Rewitalizacja miast: planowanie i realizacja. Gdańsk: Wydział Architektury Politechniki Gdańskiej;
13.	MARKOWSKI, T. KACZMAREK, S., OLENDEREK, J. (2010). Rewitalizacja terenów poprzemysłowych w Łodzi. Warszawa: Komitet Przestrzennego Zagospodarowania Kraju PAN;
14.	ZIOBROWSK,I Z., PTASZYCKA-JACKOWSKA, D., RĘBOWSKA, A., GEISSLER, A. (2000). Rewitalizacja, rehabilitacja i restrukturyzacja – odnowa miast. Kraków: Instytut Gospodarki Przestrzennej i Komunalnej; 
15.	SKOWRONEK, J. (2010). Innowacyjne rozwiązania rewitalizacji terenów zdegradowanych. Lędziny-Katowice: Centrum Badań i Dozoru Górnictwa Podziemnego Sp.z o.o.; Instytut Ekologii Terenów Uprzemysłowionych;
16.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GP.SMS325_W2: </w:t>
      </w:r>
    </w:p>
    <w:p>
      <w:pPr/>
      <w:r>
        <w:rPr/>
        <w:t xml:space="preserve">ma wiedzę z zakresu ekonomii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2026-08-19T22:32:02+02:00</dcterms:created>
  <dcterms:modified xsi:type="dcterms:W3CDTF">2026-08-19T22:32:02+02:00</dcterms:modified>
</cp:coreProperties>
</file>

<file path=docProps/custom.xml><?xml version="1.0" encoding="utf-8"?>
<Properties xmlns="http://schemas.openxmlformats.org/officeDocument/2006/custom-properties" xmlns:vt="http://schemas.openxmlformats.org/officeDocument/2006/docPropsVTypes"/>
</file>